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6F1013" w14:textId="15BBE32B" w:rsidR="00C42681" w:rsidRPr="006F7BB0" w:rsidRDefault="006F7BB0" w:rsidP="006F7BB0">
      <w:pPr>
        <w:jc w:val="center"/>
        <w:rPr>
          <w:b/>
          <w:bCs/>
          <w:sz w:val="32"/>
          <w:szCs w:val="32"/>
          <w:u w:val="single"/>
        </w:rPr>
      </w:pPr>
      <w:r w:rsidRPr="006F7BB0">
        <w:rPr>
          <w:b/>
          <w:bCs/>
          <w:sz w:val="32"/>
          <w:szCs w:val="32"/>
          <w:u w:val="single"/>
        </w:rPr>
        <w:t>CH</w:t>
      </w:r>
      <w:r w:rsidR="00FD5981">
        <w:rPr>
          <w:b/>
          <w:bCs/>
          <w:sz w:val="32"/>
          <w:szCs w:val="32"/>
          <w:u w:val="single"/>
        </w:rPr>
        <w:t>4</w:t>
      </w:r>
      <w:r w:rsidRPr="006F7BB0">
        <w:rPr>
          <w:b/>
          <w:bCs/>
          <w:sz w:val="32"/>
          <w:szCs w:val="32"/>
          <w:u w:val="single"/>
        </w:rPr>
        <w:t xml:space="preserve"> : </w:t>
      </w:r>
      <w:r w:rsidR="00FD5981">
        <w:rPr>
          <w:b/>
          <w:bCs/>
          <w:sz w:val="32"/>
          <w:szCs w:val="32"/>
          <w:u w:val="single"/>
        </w:rPr>
        <w:t>LA PREUVE ELECTRONIQUE, LE CONTRAT ELECTRONIQUE ET LES CONTRATS DE PRESTATIONS NUMERIQUES</w:t>
      </w:r>
    </w:p>
    <w:p w14:paraId="1533462E" w14:textId="77777777" w:rsidR="006F7BB0" w:rsidRDefault="006F7BB0" w:rsidP="006F7BB0">
      <w:pPr>
        <w:pStyle w:val="Sansinterligne"/>
      </w:pPr>
    </w:p>
    <w:tbl>
      <w:tblPr>
        <w:tblStyle w:val="Grilledutableau"/>
        <w:tblW w:w="0" w:type="auto"/>
        <w:tblLook w:val="04A0" w:firstRow="1" w:lastRow="0" w:firstColumn="1" w:lastColumn="0" w:noHBand="0" w:noVBand="1"/>
      </w:tblPr>
      <w:tblGrid>
        <w:gridCol w:w="1555"/>
        <w:gridCol w:w="7507"/>
      </w:tblGrid>
      <w:tr w:rsidR="006F7BB0" w14:paraId="62213215" w14:textId="77777777" w:rsidTr="006F7BB0">
        <w:tc>
          <w:tcPr>
            <w:tcW w:w="1555" w:type="dxa"/>
          </w:tcPr>
          <w:p w14:paraId="1B3CDEF9" w14:textId="28008ECF" w:rsidR="006F7BB0" w:rsidRPr="006F7BB0" w:rsidRDefault="006F7BB0" w:rsidP="006F7BB0">
            <w:pPr>
              <w:pStyle w:val="Sansinterligne"/>
              <w:rPr>
                <w:b/>
                <w:bCs/>
              </w:rPr>
            </w:pPr>
            <w:r w:rsidRPr="006F7BB0">
              <w:rPr>
                <w:b/>
                <w:bCs/>
              </w:rPr>
              <w:t>OBJECTIFS</w:t>
            </w:r>
          </w:p>
        </w:tc>
        <w:tc>
          <w:tcPr>
            <w:tcW w:w="7507" w:type="dxa"/>
          </w:tcPr>
          <w:p w14:paraId="29016EC4" w14:textId="77777777" w:rsidR="006F7BB0" w:rsidRDefault="006F7BB0" w:rsidP="006F7BB0">
            <w:pPr>
              <w:pStyle w:val="Sansinterligne"/>
            </w:pPr>
            <w:r>
              <w:t>A l’issu du chapitre, vous devez être capable de :</w:t>
            </w:r>
          </w:p>
          <w:p w14:paraId="203A33C4" w14:textId="77777777" w:rsidR="00E51DA6" w:rsidRDefault="00FD5981" w:rsidP="00FD5981">
            <w:pPr>
              <w:pStyle w:val="Sansinterligne"/>
              <w:numPr>
                <w:ilvl w:val="0"/>
                <w:numId w:val="1"/>
              </w:numPr>
            </w:pPr>
            <w:r>
              <w:t>Qualifier et analyser les clauses de contrats relatives à une vente ou à une prestation de service numérique</w:t>
            </w:r>
          </w:p>
          <w:p w14:paraId="0942C8E2" w14:textId="752B1402" w:rsidR="00FD5981" w:rsidRDefault="00FD5981" w:rsidP="00FD5981">
            <w:pPr>
              <w:pStyle w:val="Sansinterligne"/>
            </w:pPr>
          </w:p>
        </w:tc>
      </w:tr>
    </w:tbl>
    <w:p w14:paraId="12C0BBFA" w14:textId="77777777" w:rsidR="006F7BB0" w:rsidRDefault="006F7BB0" w:rsidP="006F7BB0">
      <w:pPr>
        <w:pStyle w:val="Sansinterligne"/>
      </w:pPr>
    </w:p>
    <w:p w14:paraId="3C1C6352" w14:textId="7E049815" w:rsidR="006F7BB0" w:rsidRPr="00DA784D" w:rsidRDefault="006F7BB0" w:rsidP="00DA784D">
      <w:pPr>
        <w:pStyle w:val="Sansinterligne"/>
        <w:jc w:val="center"/>
        <w:rPr>
          <w:b/>
          <w:bCs/>
          <w:color w:val="C00000"/>
          <w:u w:val="single"/>
        </w:rPr>
      </w:pPr>
      <w:r w:rsidRPr="00DA784D">
        <w:rPr>
          <w:b/>
          <w:bCs/>
          <w:color w:val="C00000"/>
          <w:u w:val="single"/>
        </w:rPr>
        <w:t>INTRODUCTION</w:t>
      </w:r>
    </w:p>
    <w:p w14:paraId="6E1C4FF1" w14:textId="77777777" w:rsidR="006F7BB0" w:rsidRDefault="006F7BB0" w:rsidP="006F7BB0">
      <w:pPr>
        <w:pStyle w:val="Sansinterligne"/>
        <w:rPr>
          <w:b/>
          <w:bCs/>
          <w:u w:val="single"/>
        </w:rPr>
      </w:pPr>
    </w:p>
    <w:tbl>
      <w:tblPr>
        <w:tblStyle w:val="Grilledutableau"/>
        <w:tblW w:w="0" w:type="auto"/>
        <w:tblLook w:val="04A0" w:firstRow="1" w:lastRow="0" w:firstColumn="1" w:lastColumn="0" w:noHBand="0" w:noVBand="1"/>
      </w:tblPr>
      <w:tblGrid>
        <w:gridCol w:w="1555"/>
        <w:gridCol w:w="7507"/>
      </w:tblGrid>
      <w:tr w:rsidR="006F7BB0" w14:paraId="21DBAB8B" w14:textId="77777777" w:rsidTr="006F7BB0">
        <w:tc>
          <w:tcPr>
            <w:tcW w:w="1555" w:type="dxa"/>
          </w:tcPr>
          <w:p w14:paraId="203AD533" w14:textId="7258DE58" w:rsidR="006F7BB0" w:rsidRPr="00D91A8F" w:rsidRDefault="00D91A8F" w:rsidP="006F7BB0">
            <w:pPr>
              <w:pStyle w:val="Sansinterligne"/>
              <w:rPr>
                <w:b/>
                <w:bCs/>
              </w:rPr>
            </w:pPr>
            <w:r w:rsidRPr="00D91A8F">
              <w:rPr>
                <w:b/>
                <w:bCs/>
              </w:rPr>
              <w:t>IMPORTANCE</w:t>
            </w:r>
          </w:p>
        </w:tc>
        <w:tc>
          <w:tcPr>
            <w:tcW w:w="7507" w:type="dxa"/>
          </w:tcPr>
          <w:p w14:paraId="4A7AFFA3" w14:textId="77777777" w:rsidR="00E51DA6" w:rsidRDefault="00FD5981" w:rsidP="00FD5981">
            <w:pPr>
              <w:pStyle w:val="Sansinterligne"/>
            </w:pPr>
            <w:r w:rsidRPr="00FD5981">
              <w:t>L'évolution du droit des obligations est essentielle car elle adapte la législation aux réalités numériques, rendant les transactions en ligne plus sûres et encadrées. Les contrats numériques, qu'il s'agisse de services ou de ventes en ligne, nécessitent des règles spécifiques pour protéger les parties impliquées, assurer la confidentialité, et garantir l'exécution correcte des prestations. De plus, la reconnaissance de la signature électronique sécurise les échanges, offrant une preuve fiable des accords. Ces adaptations renforcent la confiance dans le commerce numérique, essentiel à une économie moderne et interconnectée.</w:t>
            </w:r>
          </w:p>
          <w:p w14:paraId="0C11CC6A" w14:textId="651AC33A" w:rsidR="00FD5981" w:rsidRPr="006A060D" w:rsidRDefault="00FD5981" w:rsidP="00FD5981">
            <w:pPr>
              <w:pStyle w:val="Sansinterligne"/>
            </w:pPr>
          </w:p>
        </w:tc>
      </w:tr>
      <w:tr w:rsidR="006F7BB0" w14:paraId="0995A417" w14:textId="77777777" w:rsidTr="006F7BB0">
        <w:tc>
          <w:tcPr>
            <w:tcW w:w="1555" w:type="dxa"/>
          </w:tcPr>
          <w:p w14:paraId="0350AD58" w14:textId="310964AF" w:rsidR="006F7BB0" w:rsidRPr="00D91A8F" w:rsidRDefault="00D91A8F" w:rsidP="006F7BB0">
            <w:pPr>
              <w:pStyle w:val="Sansinterligne"/>
              <w:rPr>
                <w:b/>
                <w:bCs/>
              </w:rPr>
            </w:pPr>
            <w:r w:rsidRPr="00D91A8F">
              <w:rPr>
                <w:b/>
                <w:bCs/>
              </w:rPr>
              <w:t>NOTIONS CLES</w:t>
            </w:r>
          </w:p>
        </w:tc>
        <w:tc>
          <w:tcPr>
            <w:tcW w:w="7507" w:type="dxa"/>
          </w:tcPr>
          <w:p w14:paraId="1A97DF98" w14:textId="35C72D09" w:rsidR="00CB19D1" w:rsidRPr="00CB19D1" w:rsidRDefault="00CB19D1">
            <w:pPr>
              <w:pStyle w:val="Sansinterligne"/>
              <w:numPr>
                <w:ilvl w:val="0"/>
                <w:numId w:val="2"/>
              </w:numPr>
            </w:pPr>
            <w:r w:rsidRPr="00CB19D1">
              <w:t>La preuve électronique</w:t>
            </w:r>
          </w:p>
          <w:p w14:paraId="4F69899C" w14:textId="6252EC42" w:rsidR="00CB19D1" w:rsidRPr="00CB19D1" w:rsidRDefault="00CB19D1">
            <w:pPr>
              <w:pStyle w:val="Sansinterligne"/>
              <w:numPr>
                <w:ilvl w:val="0"/>
                <w:numId w:val="2"/>
              </w:numPr>
            </w:pPr>
            <w:r w:rsidRPr="00CB19D1">
              <w:t>Le contrat de vente électronique</w:t>
            </w:r>
          </w:p>
          <w:p w14:paraId="4B8B9051" w14:textId="538EC4AE" w:rsidR="00E51DA6" w:rsidRPr="00CB19D1" w:rsidRDefault="00CB19D1">
            <w:pPr>
              <w:pStyle w:val="Sansinterligne"/>
              <w:numPr>
                <w:ilvl w:val="0"/>
                <w:numId w:val="2"/>
              </w:numPr>
            </w:pPr>
            <w:r w:rsidRPr="00CB19D1">
              <w:t>Le contrat de prestations de service numérique</w:t>
            </w:r>
          </w:p>
          <w:p w14:paraId="4916C523" w14:textId="1ED0F2C7" w:rsidR="00CB19D1" w:rsidRPr="00E51DA6" w:rsidRDefault="00CB19D1" w:rsidP="00CB19D1">
            <w:pPr>
              <w:pStyle w:val="Sansinterligne"/>
              <w:ind w:left="360"/>
              <w:rPr>
                <w:b/>
                <w:bCs/>
                <w:u w:val="single"/>
              </w:rPr>
            </w:pPr>
          </w:p>
        </w:tc>
      </w:tr>
    </w:tbl>
    <w:p w14:paraId="6FB9A1F9" w14:textId="10092373" w:rsidR="00D91A8F" w:rsidRDefault="00D91A8F" w:rsidP="006F7BB0">
      <w:pPr>
        <w:pStyle w:val="Sansinterligne"/>
        <w:rPr>
          <w:b/>
          <w:bCs/>
          <w:u w:val="single"/>
        </w:rPr>
      </w:pPr>
    </w:p>
    <w:sdt>
      <w:sdtPr>
        <w:rPr>
          <w:caps w:val="0"/>
          <w:color w:val="auto"/>
          <w:spacing w:val="0"/>
          <w:sz w:val="20"/>
          <w:szCs w:val="20"/>
          <w:lang w:val="fr-FR"/>
        </w:rPr>
        <w:id w:val="-389352915"/>
        <w:docPartObj>
          <w:docPartGallery w:val="Table of Contents"/>
          <w:docPartUnique/>
        </w:docPartObj>
      </w:sdtPr>
      <w:sdtEndPr>
        <w:rPr>
          <w:b/>
          <w:bCs/>
        </w:rPr>
      </w:sdtEndPr>
      <w:sdtContent>
        <w:p w14:paraId="0F497467" w14:textId="7FBA3FB4" w:rsidR="00D91A8F" w:rsidRDefault="00DA784D">
          <w:pPr>
            <w:pStyle w:val="En-ttedetabledesmatires"/>
            <w:rPr>
              <w:lang w:val="fr-FR"/>
            </w:rPr>
          </w:pPr>
          <w:r>
            <w:rPr>
              <w:lang w:val="fr-FR"/>
            </w:rPr>
            <w:t>Plan de cours</w:t>
          </w:r>
        </w:p>
        <w:p w14:paraId="13B19EAA" w14:textId="77777777" w:rsidR="00033BEE" w:rsidRPr="00033BEE" w:rsidRDefault="00033BEE" w:rsidP="00033BEE">
          <w:pPr>
            <w:rPr>
              <w:lang w:val="fr-FR"/>
            </w:rPr>
          </w:pPr>
        </w:p>
        <w:p w14:paraId="413443F2" w14:textId="2004FEBC" w:rsidR="003630A6" w:rsidRDefault="00D91A8F">
          <w:pPr>
            <w:pStyle w:val="TM1"/>
            <w:tabs>
              <w:tab w:val="right" w:leader="dot" w:pos="9062"/>
            </w:tabs>
            <w:rPr>
              <w:rFonts w:eastAsiaTheme="minorEastAsia"/>
              <w:noProof/>
              <w:sz w:val="22"/>
              <w:szCs w:val="22"/>
              <w:lang w:val="fr-FR" w:eastAsia="fr-FR"/>
            </w:rPr>
          </w:pPr>
          <w:r>
            <w:fldChar w:fldCharType="begin"/>
          </w:r>
          <w:r>
            <w:instrText xml:space="preserve"> TOC \o "1-3" \h \z \u </w:instrText>
          </w:r>
          <w:r>
            <w:fldChar w:fldCharType="separate"/>
          </w:r>
          <w:hyperlink w:anchor="_Toc177715571" w:history="1">
            <w:r w:rsidR="003630A6" w:rsidRPr="00BF35C3">
              <w:rPr>
                <w:rStyle w:val="Lienhypertexte"/>
                <w:noProof/>
              </w:rPr>
              <w:t>Cas pratiques</w:t>
            </w:r>
            <w:r w:rsidR="003630A6">
              <w:rPr>
                <w:noProof/>
                <w:webHidden/>
              </w:rPr>
              <w:tab/>
            </w:r>
            <w:r w:rsidR="003630A6">
              <w:rPr>
                <w:noProof/>
                <w:webHidden/>
              </w:rPr>
              <w:fldChar w:fldCharType="begin"/>
            </w:r>
            <w:r w:rsidR="003630A6">
              <w:rPr>
                <w:noProof/>
                <w:webHidden/>
              </w:rPr>
              <w:instrText xml:space="preserve"> PAGEREF _Toc177715571 \h </w:instrText>
            </w:r>
            <w:r w:rsidR="003630A6">
              <w:rPr>
                <w:noProof/>
                <w:webHidden/>
              </w:rPr>
            </w:r>
            <w:r w:rsidR="003630A6">
              <w:rPr>
                <w:noProof/>
                <w:webHidden/>
              </w:rPr>
              <w:fldChar w:fldCharType="separate"/>
            </w:r>
            <w:r w:rsidR="003630A6">
              <w:rPr>
                <w:noProof/>
                <w:webHidden/>
              </w:rPr>
              <w:t>3</w:t>
            </w:r>
            <w:r w:rsidR="003630A6">
              <w:rPr>
                <w:noProof/>
                <w:webHidden/>
              </w:rPr>
              <w:fldChar w:fldCharType="end"/>
            </w:r>
          </w:hyperlink>
        </w:p>
        <w:p w14:paraId="0D1F688B" w14:textId="636EC197" w:rsidR="003630A6" w:rsidRDefault="003630A6">
          <w:pPr>
            <w:pStyle w:val="TM1"/>
            <w:tabs>
              <w:tab w:val="right" w:leader="dot" w:pos="9062"/>
            </w:tabs>
            <w:rPr>
              <w:rFonts w:eastAsiaTheme="minorEastAsia"/>
              <w:noProof/>
              <w:sz w:val="22"/>
              <w:szCs w:val="22"/>
              <w:lang w:val="fr-FR" w:eastAsia="fr-FR"/>
            </w:rPr>
          </w:pPr>
          <w:hyperlink w:anchor="_Toc177715572" w:history="1">
            <w:r w:rsidRPr="00BF35C3">
              <w:rPr>
                <w:rStyle w:val="Lienhypertexte"/>
                <w:noProof/>
              </w:rPr>
              <w:t>Définitions</w:t>
            </w:r>
            <w:r>
              <w:rPr>
                <w:noProof/>
                <w:webHidden/>
              </w:rPr>
              <w:tab/>
            </w:r>
            <w:r>
              <w:rPr>
                <w:noProof/>
                <w:webHidden/>
              </w:rPr>
              <w:fldChar w:fldCharType="begin"/>
            </w:r>
            <w:r>
              <w:rPr>
                <w:noProof/>
                <w:webHidden/>
              </w:rPr>
              <w:instrText xml:space="preserve"> PAGEREF _Toc177715572 \h </w:instrText>
            </w:r>
            <w:r>
              <w:rPr>
                <w:noProof/>
                <w:webHidden/>
              </w:rPr>
            </w:r>
            <w:r>
              <w:rPr>
                <w:noProof/>
                <w:webHidden/>
              </w:rPr>
              <w:fldChar w:fldCharType="separate"/>
            </w:r>
            <w:r>
              <w:rPr>
                <w:noProof/>
                <w:webHidden/>
              </w:rPr>
              <w:t>3</w:t>
            </w:r>
            <w:r>
              <w:rPr>
                <w:noProof/>
                <w:webHidden/>
              </w:rPr>
              <w:fldChar w:fldCharType="end"/>
            </w:r>
          </w:hyperlink>
        </w:p>
        <w:p w14:paraId="08FA56DE" w14:textId="5983B349" w:rsidR="003630A6" w:rsidRDefault="003630A6">
          <w:pPr>
            <w:pStyle w:val="TM1"/>
            <w:tabs>
              <w:tab w:val="right" w:leader="dot" w:pos="9062"/>
            </w:tabs>
            <w:rPr>
              <w:rFonts w:eastAsiaTheme="minorEastAsia"/>
              <w:noProof/>
              <w:sz w:val="22"/>
              <w:szCs w:val="22"/>
              <w:lang w:val="fr-FR" w:eastAsia="fr-FR"/>
            </w:rPr>
          </w:pPr>
          <w:hyperlink w:anchor="_Toc177715573" w:history="1">
            <w:r w:rsidRPr="00BF35C3">
              <w:rPr>
                <w:rStyle w:val="Lienhypertexte"/>
                <w:noProof/>
                <w:lang w:val="fr-FR"/>
              </w:rPr>
              <w:t>La preuve électronique : théories et mécanismes</w:t>
            </w:r>
            <w:r>
              <w:rPr>
                <w:noProof/>
                <w:webHidden/>
              </w:rPr>
              <w:tab/>
            </w:r>
            <w:r>
              <w:rPr>
                <w:noProof/>
                <w:webHidden/>
              </w:rPr>
              <w:fldChar w:fldCharType="begin"/>
            </w:r>
            <w:r>
              <w:rPr>
                <w:noProof/>
                <w:webHidden/>
              </w:rPr>
              <w:instrText xml:space="preserve"> PAGEREF _Toc177715573 \h </w:instrText>
            </w:r>
            <w:r>
              <w:rPr>
                <w:noProof/>
                <w:webHidden/>
              </w:rPr>
            </w:r>
            <w:r>
              <w:rPr>
                <w:noProof/>
                <w:webHidden/>
              </w:rPr>
              <w:fldChar w:fldCharType="separate"/>
            </w:r>
            <w:r>
              <w:rPr>
                <w:noProof/>
                <w:webHidden/>
              </w:rPr>
              <w:t>4</w:t>
            </w:r>
            <w:r>
              <w:rPr>
                <w:noProof/>
                <w:webHidden/>
              </w:rPr>
              <w:fldChar w:fldCharType="end"/>
            </w:r>
          </w:hyperlink>
        </w:p>
        <w:p w14:paraId="06E3493C" w14:textId="75528D44" w:rsidR="003630A6" w:rsidRDefault="003630A6">
          <w:pPr>
            <w:pStyle w:val="TM2"/>
            <w:tabs>
              <w:tab w:val="left" w:pos="660"/>
              <w:tab w:val="right" w:leader="dot" w:pos="9062"/>
            </w:tabs>
            <w:rPr>
              <w:rFonts w:eastAsiaTheme="minorEastAsia"/>
              <w:noProof/>
              <w:sz w:val="22"/>
              <w:szCs w:val="22"/>
              <w:lang w:val="fr-FR" w:eastAsia="fr-FR"/>
            </w:rPr>
          </w:pPr>
          <w:hyperlink w:anchor="_Toc177715574" w:history="1">
            <w:r w:rsidRPr="00BF35C3">
              <w:rPr>
                <w:rStyle w:val="Lienhypertexte"/>
                <w:noProof/>
                <w:lang w:val="fr-FR"/>
              </w:rPr>
              <w:t>1.</w:t>
            </w:r>
            <w:r>
              <w:rPr>
                <w:rFonts w:eastAsiaTheme="minorEastAsia"/>
                <w:noProof/>
                <w:sz w:val="22"/>
                <w:szCs w:val="22"/>
                <w:lang w:val="fr-FR" w:eastAsia="fr-FR"/>
              </w:rPr>
              <w:tab/>
            </w:r>
            <w:r w:rsidRPr="00BF35C3">
              <w:rPr>
                <w:rStyle w:val="Lienhypertexte"/>
                <w:noProof/>
                <w:lang w:val="fr-FR"/>
              </w:rPr>
              <w:t>Références juridiques pertinentes</w:t>
            </w:r>
            <w:r>
              <w:rPr>
                <w:noProof/>
                <w:webHidden/>
              </w:rPr>
              <w:tab/>
            </w:r>
            <w:r>
              <w:rPr>
                <w:noProof/>
                <w:webHidden/>
              </w:rPr>
              <w:fldChar w:fldCharType="begin"/>
            </w:r>
            <w:r>
              <w:rPr>
                <w:noProof/>
                <w:webHidden/>
              </w:rPr>
              <w:instrText xml:space="preserve"> PAGEREF _Toc177715574 \h </w:instrText>
            </w:r>
            <w:r>
              <w:rPr>
                <w:noProof/>
                <w:webHidden/>
              </w:rPr>
            </w:r>
            <w:r>
              <w:rPr>
                <w:noProof/>
                <w:webHidden/>
              </w:rPr>
              <w:fldChar w:fldCharType="separate"/>
            </w:r>
            <w:r>
              <w:rPr>
                <w:noProof/>
                <w:webHidden/>
              </w:rPr>
              <w:t>4</w:t>
            </w:r>
            <w:r>
              <w:rPr>
                <w:noProof/>
                <w:webHidden/>
              </w:rPr>
              <w:fldChar w:fldCharType="end"/>
            </w:r>
          </w:hyperlink>
        </w:p>
        <w:p w14:paraId="587D3A51" w14:textId="1D5C5696" w:rsidR="003630A6" w:rsidRDefault="003630A6">
          <w:pPr>
            <w:pStyle w:val="TM2"/>
            <w:tabs>
              <w:tab w:val="left" w:pos="660"/>
              <w:tab w:val="right" w:leader="dot" w:pos="9062"/>
            </w:tabs>
            <w:rPr>
              <w:rFonts w:eastAsiaTheme="minorEastAsia"/>
              <w:noProof/>
              <w:sz w:val="22"/>
              <w:szCs w:val="22"/>
              <w:lang w:val="fr-FR" w:eastAsia="fr-FR"/>
            </w:rPr>
          </w:pPr>
          <w:hyperlink w:anchor="_Toc177715575" w:history="1">
            <w:r w:rsidRPr="00BF35C3">
              <w:rPr>
                <w:rStyle w:val="Lienhypertexte"/>
                <w:noProof/>
                <w:lang w:val="fr-FR"/>
              </w:rPr>
              <w:t>2.</w:t>
            </w:r>
            <w:r>
              <w:rPr>
                <w:rFonts w:eastAsiaTheme="minorEastAsia"/>
                <w:noProof/>
                <w:sz w:val="22"/>
                <w:szCs w:val="22"/>
                <w:lang w:val="fr-FR" w:eastAsia="fr-FR"/>
              </w:rPr>
              <w:tab/>
            </w:r>
            <w:r w:rsidRPr="00BF35C3">
              <w:rPr>
                <w:rStyle w:val="Lienhypertexte"/>
                <w:noProof/>
                <w:lang w:val="fr-FR"/>
              </w:rPr>
              <w:t>Conditions de recevabilité d’une preuve électronique</w:t>
            </w:r>
            <w:r>
              <w:rPr>
                <w:noProof/>
                <w:webHidden/>
              </w:rPr>
              <w:tab/>
            </w:r>
            <w:r>
              <w:rPr>
                <w:noProof/>
                <w:webHidden/>
              </w:rPr>
              <w:fldChar w:fldCharType="begin"/>
            </w:r>
            <w:r>
              <w:rPr>
                <w:noProof/>
                <w:webHidden/>
              </w:rPr>
              <w:instrText xml:space="preserve"> PAGEREF _Toc177715575 \h </w:instrText>
            </w:r>
            <w:r>
              <w:rPr>
                <w:noProof/>
                <w:webHidden/>
              </w:rPr>
            </w:r>
            <w:r>
              <w:rPr>
                <w:noProof/>
                <w:webHidden/>
              </w:rPr>
              <w:fldChar w:fldCharType="separate"/>
            </w:r>
            <w:r>
              <w:rPr>
                <w:noProof/>
                <w:webHidden/>
              </w:rPr>
              <w:t>4</w:t>
            </w:r>
            <w:r>
              <w:rPr>
                <w:noProof/>
                <w:webHidden/>
              </w:rPr>
              <w:fldChar w:fldCharType="end"/>
            </w:r>
          </w:hyperlink>
        </w:p>
        <w:p w14:paraId="5733261E" w14:textId="19C14B2B" w:rsidR="003630A6" w:rsidRDefault="003630A6">
          <w:pPr>
            <w:pStyle w:val="TM2"/>
            <w:tabs>
              <w:tab w:val="left" w:pos="660"/>
              <w:tab w:val="right" w:leader="dot" w:pos="9062"/>
            </w:tabs>
            <w:rPr>
              <w:rFonts w:eastAsiaTheme="minorEastAsia"/>
              <w:noProof/>
              <w:sz w:val="22"/>
              <w:szCs w:val="22"/>
              <w:lang w:val="fr-FR" w:eastAsia="fr-FR"/>
            </w:rPr>
          </w:pPr>
          <w:hyperlink w:anchor="_Toc177715576" w:history="1">
            <w:r w:rsidRPr="00BF35C3">
              <w:rPr>
                <w:rStyle w:val="Lienhypertexte"/>
                <w:noProof/>
                <w:lang w:val="fr-FR"/>
              </w:rPr>
              <w:t>3.</w:t>
            </w:r>
            <w:r>
              <w:rPr>
                <w:rFonts w:eastAsiaTheme="minorEastAsia"/>
                <w:noProof/>
                <w:sz w:val="22"/>
                <w:szCs w:val="22"/>
                <w:lang w:val="fr-FR" w:eastAsia="fr-FR"/>
              </w:rPr>
              <w:tab/>
            </w:r>
            <w:r w:rsidRPr="00BF35C3">
              <w:rPr>
                <w:rStyle w:val="Lienhypertexte"/>
                <w:noProof/>
                <w:lang w:val="fr-FR"/>
              </w:rPr>
              <w:t>Technologies renforçant la preuve électronique</w:t>
            </w:r>
            <w:r>
              <w:rPr>
                <w:noProof/>
                <w:webHidden/>
              </w:rPr>
              <w:tab/>
            </w:r>
            <w:r>
              <w:rPr>
                <w:noProof/>
                <w:webHidden/>
              </w:rPr>
              <w:fldChar w:fldCharType="begin"/>
            </w:r>
            <w:r>
              <w:rPr>
                <w:noProof/>
                <w:webHidden/>
              </w:rPr>
              <w:instrText xml:space="preserve"> PAGEREF _Toc177715576 \h </w:instrText>
            </w:r>
            <w:r>
              <w:rPr>
                <w:noProof/>
                <w:webHidden/>
              </w:rPr>
            </w:r>
            <w:r>
              <w:rPr>
                <w:noProof/>
                <w:webHidden/>
              </w:rPr>
              <w:fldChar w:fldCharType="separate"/>
            </w:r>
            <w:r>
              <w:rPr>
                <w:noProof/>
                <w:webHidden/>
              </w:rPr>
              <w:t>4</w:t>
            </w:r>
            <w:r>
              <w:rPr>
                <w:noProof/>
                <w:webHidden/>
              </w:rPr>
              <w:fldChar w:fldCharType="end"/>
            </w:r>
          </w:hyperlink>
        </w:p>
        <w:p w14:paraId="604A2DEE" w14:textId="1F73FEB6" w:rsidR="003630A6" w:rsidRDefault="003630A6">
          <w:pPr>
            <w:pStyle w:val="TM2"/>
            <w:tabs>
              <w:tab w:val="left" w:pos="660"/>
              <w:tab w:val="right" w:leader="dot" w:pos="9062"/>
            </w:tabs>
            <w:rPr>
              <w:rFonts w:eastAsiaTheme="minorEastAsia"/>
              <w:noProof/>
              <w:sz w:val="22"/>
              <w:szCs w:val="22"/>
              <w:lang w:val="fr-FR" w:eastAsia="fr-FR"/>
            </w:rPr>
          </w:pPr>
          <w:hyperlink w:anchor="_Toc177715577" w:history="1">
            <w:r w:rsidRPr="00BF35C3">
              <w:rPr>
                <w:rStyle w:val="Lienhypertexte"/>
                <w:noProof/>
                <w:lang w:val="fr-FR"/>
              </w:rPr>
              <w:t>4.</w:t>
            </w:r>
            <w:r>
              <w:rPr>
                <w:rFonts w:eastAsiaTheme="minorEastAsia"/>
                <w:noProof/>
                <w:sz w:val="22"/>
                <w:szCs w:val="22"/>
                <w:lang w:val="fr-FR" w:eastAsia="fr-FR"/>
              </w:rPr>
              <w:tab/>
            </w:r>
            <w:r w:rsidRPr="00BF35C3">
              <w:rPr>
                <w:rStyle w:val="Lienhypertexte"/>
                <w:noProof/>
                <w:lang w:val="fr-FR"/>
              </w:rPr>
              <w:t>Réponses aux questions d'évaluation</w:t>
            </w:r>
            <w:r>
              <w:rPr>
                <w:noProof/>
                <w:webHidden/>
              </w:rPr>
              <w:tab/>
            </w:r>
            <w:r>
              <w:rPr>
                <w:noProof/>
                <w:webHidden/>
              </w:rPr>
              <w:fldChar w:fldCharType="begin"/>
            </w:r>
            <w:r>
              <w:rPr>
                <w:noProof/>
                <w:webHidden/>
              </w:rPr>
              <w:instrText xml:space="preserve"> PAGEREF _Toc177715577 \h </w:instrText>
            </w:r>
            <w:r>
              <w:rPr>
                <w:noProof/>
                <w:webHidden/>
              </w:rPr>
            </w:r>
            <w:r>
              <w:rPr>
                <w:noProof/>
                <w:webHidden/>
              </w:rPr>
              <w:fldChar w:fldCharType="separate"/>
            </w:r>
            <w:r>
              <w:rPr>
                <w:noProof/>
                <w:webHidden/>
              </w:rPr>
              <w:t>5</w:t>
            </w:r>
            <w:r>
              <w:rPr>
                <w:noProof/>
                <w:webHidden/>
              </w:rPr>
              <w:fldChar w:fldCharType="end"/>
            </w:r>
          </w:hyperlink>
        </w:p>
        <w:p w14:paraId="18D0E5EB" w14:textId="2BDE9034" w:rsidR="003630A6" w:rsidRDefault="003630A6">
          <w:pPr>
            <w:pStyle w:val="TM1"/>
            <w:tabs>
              <w:tab w:val="right" w:leader="dot" w:pos="9062"/>
            </w:tabs>
            <w:rPr>
              <w:rFonts w:eastAsiaTheme="minorEastAsia"/>
              <w:noProof/>
              <w:sz w:val="22"/>
              <w:szCs w:val="22"/>
              <w:lang w:val="fr-FR" w:eastAsia="fr-FR"/>
            </w:rPr>
          </w:pPr>
          <w:hyperlink w:anchor="_Toc177715578" w:history="1">
            <w:r w:rsidRPr="00BF35C3">
              <w:rPr>
                <w:rStyle w:val="Lienhypertexte"/>
                <w:noProof/>
                <w:lang w:val="fr-FR"/>
              </w:rPr>
              <w:t>Le contrat de vente électronique : cadre légal et protections</w:t>
            </w:r>
            <w:r>
              <w:rPr>
                <w:noProof/>
                <w:webHidden/>
              </w:rPr>
              <w:tab/>
            </w:r>
            <w:r>
              <w:rPr>
                <w:noProof/>
                <w:webHidden/>
              </w:rPr>
              <w:fldChar w:fldCharType="begin"/>
            </w:r>
            <w:r>
              <w:rPr>
                <w:noProof/>
                <w:webHidden/>
              </w:rPr>
              <w:instrText xml:space="preserve"> PAGEREF _Toc177715578 \h </w:instrText>
            </w:r>
            <w:r>
              <w:rPr>
                <w:noProof/>
                <w:webHidden/>
              </w:rPr>
            </w:r>
            <w:r>
              <w:rPr>
                <w:noProof/>
                <w:webHidden/>
              </w:rPr>
              <w:fldChar w:fldCharType="separate"/>
            </w:r>
            <w:r>
              <w:rPr>
                <w:noProof/>
                <w:webHidden/>
              </w:rPr>
              <w:t>5</w:t>
            </w:r>
            <w:r>
              <w:rPr>
                <w:noProof/>
                <w:webHidden/>
              </w:rPr>
              <w:fldChar w:fldCharType="end"/>
            </w:r>
          </w:hyperlink>
        </w:p>
        <w:p w14:paraId="211135C6" w14:textId="7C71D67D" w:rsidR="003630A6" w:rsidRDefault="003630A6">
          <w:pPr>
            <w:pStyle w:val="TM2"/>
            <w:tabs>
              <w:tab w:val="left" w:pos="660"/>
              <w:tab w:val="right" w:leader="dot" w:pos="9062"/>
            </w:tabs>
            <w:rPr>
              <w:rFonts w:eastAsiaTheme="minorEastAsia"/>
              <w:noProof/>
              <w:sz w:val="22"/>
              <w:szCs w:val="22"/>
              <w:lang w:val="fr-FR" w:eastAsia="fr-FR"/>
            </w:rPr>
          </w:pPr>
          <w:hyperlink w:anchor="_Toc177715579" w:history="1">
            <w:r w:rsidRPr="00BF35C3">
              <w:rPr>
                <w:rStyle w:val="Lienhypertexte"/>
                <w:noProof/>
                <w:lang w:val="fr-FR"/>
              </w:rPr>
              <w:t>1.</w:t>
            </w:r>
            <w:r>
              <w:rPr>
                <w:rFonts w:eastAsiaTheme="minorEastAsia"/>
                <w:noProof/>
                <w:sz w:val="22"/>
                <w:szCs w:val="22"/>
                <w:lang w:val="fr-FR" w:eastAsia="fr-FR"/>
              </w:rPr>
              <w:tab/>
            </w:r>
            <w:r w:rsidRPr="00BF35C3">
              <w:rPr>
                <w:rStyle w:val="Lienhypertexte"/>
                <w:noProof/>
                <w:lang w:val="fr-FR"/>
              </w:rPr>
              <w:t>Références juridiques pertinentes</w:t>
            </w:r>
            <w:r>
              <w:rPr>
                <w:noProof/>
                <w:webHidden/>
              </w:rPr>
              <w:tab/>
            </w:r>
            <w:r>
              <w:rPr>
                <w:noProof/>
                <w:webHidden/>
              </w:rPr>
              <w:fldChar w:fldCharType="begin"/>
            </w:r>
            <w:r>
              <w:rPr>
                <w:noProof/>
                <w:webHidden/>
              </w:rPr>
              <w:instrText xml:space="preserve"> PAGEREF _Toc177715579 \h </w:instrText>
            </w:r>
            <w:r>
              <w:rPr>
                <w:noProof/>
                <w:webHidden/>
              </w:rPr>
            </w:r>
            <w:r>
              <w:rPr>
                <w:noProof/>
                <w:webHidden/>
              </w:rPr>
              <w:fldChar w:fldCharType="separate"/>
            </w:r>
            <w:r>
              <w:rPr>
                <w:noProof/>
                <w:webHidden/>
              </w:rPr>
              <w:t>5</w:t>
            </w:r>
            <w:r>
              <w:rPr>
                <w:noProof/>
                <w:webHidden/>
              </w:rPr>
              <w:fldChar w:fldCharType="end"/>
            </w:r>
          </w:hyperlink>
        </w:p>
        <w:p w14:paraId="2C48B8C2" w14:textId="7B1EDFF4" w:rsidR="003630A6" w:rsidRDefault="003630A6">
          <w:pPr>
            <w:pStyle w:val="TM2"/>
            <w:tabs>
              <w:tab w:val="left" w:pos="660"/>
              <w:tab w:val="right" w:leader="dot" w:pos="9062"/>
            </w:tabs>
            <w:rPr>
              <w:rFonts w:eastAsiaTheme="minorEastAsia"/>
              <w:noProof/>
              <w:sz w:val="22"/>
              <w:szCs w:val="22"/>
              <w:lang w:val="fr-FR" w:eastAsia="fr-FR"/>
            </w:rPr>
          </w:pPr>
          <w:hyperlink w:anchor="_Toc177715580" w:history="1">
            <w:r w:rsidRPr="00BF35C3">
              <w:rPr>
                <w:rStyle w:val="Lienhypertexte"/>
                <w:noProof/>
                <w:lang w:val="fr-FR"/>
              </w:rPr>
              <w:t>2.</w:t>
            </w:r>
            <w:r>
              <w:rPr>
                <w:rFonts w:eastAsiaTheme="minorEastAsia"/>
                <w:noProof/>
                <w:sz w:val="22"/>
                <w:szCs w:val="22"/>
                <w:lang w:val="fr-FR" w:eastAsia="fr-FR"/>
              </w:rPr>
              <w:tab/>
            </w:r>
            <w:r w:rsidRPr="00BF35C3">
              <w:rPr>
                <w:rStyle w:val="Lienhypertexte"/>
                <w:noProof/>
                <w:lang w:val="fr-FR"/>
              </w:rPr>
              <w:t>Informations obligatoires dans un contrat de vente électronique</w:t>
            </w:r>
            <w:r>
              <w:rPr>
                <w:noProof/>
                <w:webHidden/>
              </w:rPr>
              <w:tab/>
            </w:r>
            <w:r>
              <w:rPr>
                <w:noProof/>
                <w:webHidden/>
              </w:rPr>
              <w:fldChar w:fldCharType="begin"/>
            </w:r>
            <w:r>
              <w:rPr>
                <w:noProof/>
                <w:webHidden/>
              </w:rPr>
              <w:instrText xml:space="preserve"> PAGEREF _Toc177715580 \h </w:instrText>
            </w:r>
            <w:r>
              <w:rPr>
                <w:noProof/>
                <w:webHidden/>
              </w:rPr>
            </w:r>
            <w:r>
              <w:rPr>
                <w:noProof/>
                <w:webHidden/>
              </w:rPr>
              <w:fldChar w:fldCharType="separate"/>
            </w:r>
            <w:r>
              <w:rPr>
                <w:noProof/>
                <w:webHidden/>
              </w:rPr>
              <w:t>6</w:t>
            </w:r>
            <w:r>
              <w:rPr>
                <w:noProof/>
                <w:webHidden/>
              </w:rPr>
              <w:fldChar w:fldCharType="end"/>
            </w:r>
          </w:hyperlink>
        </w:p>
        <w:p w14:paraId="7CE4BD6B" w14:textId="079B99FD" w:rsidR="003630A6" w:rsidRDefault="003630A6">
          <w:pPr>
            <w:pStyle w:val="TM2"/>
            <w:tabs>
              <w:tab w:val="left" w:pos="660"/>
              <w:tab w:val="right" w:leader="dot" w:pos="9062"/>
            </w:tabs>
            <w:rPr>
              <w:rFonts w:eastAsiaTheme="minorEastAsia"/>
              <w:noProof/>
              <w:sz w:val="22"/>
              <w:szCs w:val="22"/>
              <w:lang w:val="fr-FR" w:eastAsia="fr-FR"/>
            </w:rPr>
          </w:pPr>
          <w:hyperlink w:anchor="_Toc177715581" w:history="1">
            <w:r w:rsidRPr="00BF35C3">
              <w:rPr>
                <w:rStyle w:val="Lienhypertexte"/>
                <w:noProof/>
                <w:lang w:val="fr-FR"/>
              </w:rPr>
              <w:t>3.</w:t>
            </w:r>
            <w:r>
              <w:rPr>
                <w:rFonts w:eastAsiaTheme="minorEastAsia"/>
                <w:noProof/>
                <w:sz w:val="22"/>
                <w:szCs w:val="22"/>
                <w:lang w:val="fr-FR" w:eastAsia="fr-FR"/>
              </w:rPr>
              <w:tab/>
            </w:r>
            <w:r w:rsidRPr="00BF35C3">
              <w:rPr>
                <w:rStyle w:val="Lienhypertexte"/>
                <w:noProof/>
                <w:lang w:val="fr-FR"/>
              </w:rPr>
              <w:t>Clauses abusives dans un contrat de vente électronique</w:t>
            </w:r>
            <w:r>
              <w:rPr>
                <w:noProof/>
                <w:webHidden/>
              </w:rPr>
              <w:tab/>
            </w:r>
            <w:r>
              <w:rPr>
                <w:noProof/>
                <w:webHidden/>
              </w:rPr>
              <w:fldChar w:fldCharType="begin"/>
            </w:r>
            <w:r>
              <w:rPr>
                <w:noProof/>
                <w:webHidden/>
              </w:rPr>
              <w:instrText xml:space="preserve"> PAGEREF _Toc177715581 \h </w:instrText>
            </w:r>
            <w:r>
              <w:rPr>
                <w:noProof/>
                <w:webHidden/>
              </w:rPr>
            </w:r>
            <w:r>
              <w:rPr>
                <w:noProof/>
                <w:webHidden/>
              </w:rPr>
              <w:fldChar w:fldCharType="separate"/>
            </w:r>
            <w:r>
              <w:rPr>
                <w:noProof/>
                <w:webHidden/>
              </w:rPr>
              <w:t>6</w:t>
            </w:r>
            <w:r>
              <w:rPr>
                <w:noProof/>
                <w:webHidden/>
              </w:rPr>
              <w:fldChar w:fldCharType="end"/>
            </w:r>
          </w:hyperlink>
        </w:p>
        <w:p w14:paraId="6E43B4FE" w14:textId="1F99D202" w:rsidR="003630A6" w:rsidRDefault="003630A6">
          <w:pPr>
            <w:pStyle w:val="TM2"/>
            <w:tabs>
              <w:tab w:val="left" w:pos="660"/>
              <w:tab w:val="right" w:leader="dot" w:pos="9062"/>
            </w:tabs>
            <w:rPr>
              <w:rFonts w:eastAsiaTheme="minorEastAsia"/>
              <w:noProof/>
              <w:sz w:val="22"/>
              <w:szCs w:val="22"/>
              <w:lang w:val="fr-FR" w:eastAsia="fr-FR"/>
            </w:rPr>
          </w:pPr>
          <w:hyperlink w:anchor="_Toc177715582" w:history="1">
            <w:r w:rsidRPr="00BF35C3">
              <w:rPr>
                <w:rStyle w:val="Lienhypertexte"/>
                <w:noProof/>
                <w:lang w:val="fr-FR"/>
              </w:rPr>
              <w:t>4.</w:t>
            </w:r>
            <w:r>
              <w:rPr>
                <w:rFonts w:eastAsiaTheme="minorEastAsia"/>
                <w:noProof/>
                <w:sz w:val="22"/>
                <w:szCs w:val="22"/>
                <w:lang w:val="fr-FR" w:eastAsia="fr-FR"/>
              </w:rPr>
              <w:tab/>
            </w:r>
            <w:r w:rsidRPr="00BF35C3">
              <w:rPr>
                <w:rStyle w:val="Lienhypertexte"/>
                <w:noProof/>
                <w:lang w:val="fr-FR"/>
              </w:rPr>
              <w:t>Réponses aux questions d’évaluation</w:t>
            </w:r>
            <w:r>
              <w:rPr>
                <w:noProof/>
                <w:webHidden/>
              </w:rPr>
              <w:tab/>
            </w:r>
            <w:r>
              <w:rPr>
                <w:noProof/>
                <w:webHidden/>
              </w:rPr>
              <w:fldChar w:fldCharType="begin"/>
            </w:r>
            <w:r>
              <w:rPr>
                <w:noProof/>
                <w:webHidden/>
              </w:rPr>
              <w:instrText xml:space="preserve"> PAGEREF _Toc177715582 \h </w:instrText>
            </w:r>
            <w:r>
              <w:rPr>
                <w:noProof/>
                <w:webHidden/>
              </w:rPr>
            </w:r>
            <w:r>
              <w:rPr>
                <w:noProof/>
                <w:webHidden/>
              </w:rPr>
              <w:fldChar w:fldCharType="separate"/>
            </w:r>
            <w:r>
              <w:rPr>
                <w:noProof/>
                <w:webHidden/>
              </w:rPr>
              <w:t>6</w:t>
            </w:r>
            <w:r>
              <w:rPr>
                <w:noProof/>
                <w:webHidden/>
              </w:rPr>
              <w:fldChar w:fldCharType="end"/>
            </w:r>
          </w:hyperlink>
        </w:p>
        <w:p w14:paraId="36836FAE" w14:textId="09BD04D0" w:rsidR="003630A6" w:rsidRDefault="003630A6">
          <w:pPr>
            <w:pStyle w:val="TM1"/>
            <w:tabs>
              <w:tab w:val="right" w:leader="dot" w:pos="9062"/>
            </w:tabs>
            <w:rPr>
              <w:rFonts w:eastAsiaTheme="minorEastAsia"/>
              <w:noProof/>
              <w:sz w:val="22"/>
              <w:szCs w:val="22"/>
              <w:lang w:val="fr-FR" w:eastAsia="fr-FR"/>
            </w:rPr>
          </w:pPr>
          <w:hyperlink w:anchor="_Toc177715583" w:history="1">
            <w:r w:rsidRPr="00BF35C3">
              <w:rPr>
                <w:rStyle w:val="Lienhypertexte"/>
                <w:noProof/>
                <w:lang w:val="fr-FR"/>
              </w:rPr>
              <w:t>Le contrat de prestations de service numérique : enjeux et clauses critiques</w:t>
            </w:r>
            <w:r>
              <w:rPr>
                <w:noProof/>
                <w:webHidden/>
              </w:rPr>
              <w:tab/>
            </w:r>
            <w:r>
              <w:rPr>
                <w:noProof/>
                <w:webHidden/>
              </w:rPr>
              <w:fldChar w:fldCharType="begin"/>
            </w:r>
            <w:r>
              <w:rPr>
                <w:noProof/>
                <w:webHidden/>
              </w:rPr>
              <w:instrText xml:space="preserve"> PAGEREF _Toc177715583 \h </w:instrText>
            </w:r>
            <w:r>
              <w:rPr>
                <w:noProof/>
                <w:webHidden/>
              </w:rPr>
            </w:r>
            <w:r>
              <w:rPr>
                <w:noProof/>
                <w:webHidden/>
              </w:rPr>
              <w:fldChar w:fldCharType="separate"/>
            </w:r>
            <w:r>
              <w:rPr>
                <w:noProof/>
                <w:webHidden/>
              </w:rPr>
              <w:t>6</w:t>
            </w:r>
            <w:r>
              <w:rPr>
                <w:noProof/>
                <w:webHidden/>
              </w:rPr>
              <w:fldChar w:fldCharType="end"/>
            </w:r>
          </w:hyperlink>
        </w:p>
        <w:p w14:paraId="6B604657" w14:textId="45141AB3" w:rsidR="003630A6" w:rsidRDefault="003630A6">
          <w:pPr>
            <w:pStyle w:val="TM2"/>
            <w:tabs>
              <w:tab w:val="left" w:pos="660"/>
              <w:tab w:val="right" w:leader="dot" w:pos="9062"/>
            </w:tabs>
            <w:rPr>
              <w:rFonts w:eastAsiaTheme="minorEastAsia"/>
              <w:noProof/>
              <w:sz w:val="22"/>
              <w:szCs w:val="22"/>
              <w:lang w:val="fr-FR" w:eastAsia="fr-FR"/>
            </w:rPr>
          </w:pPr>
          <w:hyperlink w:anchor="_Toc177715584" w:history="1">
            <w:r w:rsidRPr="00BF35C3">
              <w:rPr>
                <w:rStyle w:val="Lienhypertexte"/>
                <w:noProof/>
                <w:lang w:val="fr-FR"/>
              </w:rPr>
              <w:t>1.</w:t>
            </w:r>
            <w:r>
              <w:rPr>
                <w:rFonts w:eastAsiaTheme="minorEastAsia"/>
                <w:noProof/>
                <w:sz w:val="22"/>
                <w:szCs w:val="22"/>
                <w:lang w:val="fr-FR" w:eastAsia="fr-FR"/>
              </w:rPr>
              <w:tab/>
            </w:r>
            <w:r w:rsidRPr="00BF35C3">
              <w:rPr>
                <w:rStyle w:val="Lienhypertexte"/>
                <w:noProof/>
                <w:lang w:val="fr-FR"/>
              </w:rPr>
              <w:t>Références juridiques pertinentes</w:t>
            </w:r>
            <w:r>
              <w:rPr>
                <w:noProof/>
                <w:webHidden/>
              </w:rPr>
              <w:tab/>
            </w:r>
            <w:r>
              <w:rPr>
                <w:noProof/>
                <w:webHidden/>
              </w:rPr>
              <w:fldChar w:fldCharType="begin"/>
            </w:r>
            <w:r>
              <w:rPr>
                <w:noProof/>
                <w:webHidden/>
              </w:rPr>
              <w:instrText xml:space="preserve"> PAGEREF _Toc177715584 \h </w:instrText>
            </w:r>
            <w:r>
              <w:rPr>
                <w:noProof/>
                <w:webHidden/>
              </w:rPr>
            </w:r>
            <w:r>
              <w:rPr>
                <w:noProof/>
                <w:webHidden/>
              </w:rPr>
              <w:fldChar w:fldCharType="separate"/>
            </w:r>
            <w:r>
              <w:rPr>
                <w:noProof/>
                <w:webHidden/>
              </w:rPr>
              <w:t>7</w:t>
            </w:r>
            <w:r>
              <w:rPr>
                <w:noProof/>
                <w:webHidden/>
              </w:rPr>
              <w:fldChar w:fldCharType="end"/>
            </w:r>
          </w:hyperlink>
        </w:p>
        <w:p w14:paraId="67777987" w14:textId="2FC7A6FC" w:rsidR="003630A6" w:rsidRDefault="003630A6">
          <w:pPr>
            <w:pStyle w:val="TM2"/>
            <w:tabs>
              <w:tab w:val="left" w:pos="660"/>
              <w:tab w:val="right" w:leader="dot" w:pos="9062"/>
            </w:tabs>
            <w:rPr>
              <w:rFonts w:eastAsiaTheme="minorEastAsia"/>
              <w:noProof/>
              <w:sz w:val="22"/>
              <w:szCs w:val="22"/>
              <w:lang w:val="fr-FR" w:eastAsia="fr-FR"/>
            </w:rPr>
          </w:pPr>
          <w:hyperlink w:anchor="_Toc177715585" w:history="1">
            <w:r w:rsidRPr="00BF35C3">
              <w:rPr>
                <w:rStyle w:val="Lienhypertexte"/>
                <w:noProof/>
                <w:lang w:val="fr-FR"/>
              </w:rPr>
              <w:t>2.</w:t>
            </w:r>
            <w:r>
              <w:rPr>
                <w:rFonts w:eastAsiaTheme="minorEastAsia"/>
                <w:noProof/>
                <w:sz w:val="22"/>
                <w:szCs w:val="22"/>
                <w:lang w:val="fr-FR" w:eastAsia="fr-FR"/>
              </w:rPr>
              <w:tab/>
            </w:r>
            <w:r w:rsidRPr="00BF35C3">
              <w:rPr>
                <w:rStyle w:val="Lienhypertexte"/>
                <w:noProof/>
                <w:lang w:val="fr-FR"/>
              </w:rPr>
              <w:t>Les SLA (Service Level Agreements)</w:t>
            </w:r>
            <w:r>
              <w:rPr>
                <w:noProof/>
                <w:webHidden/>
              </w:rPr>
              <w:tab/>
            </w:r>
            <w:r>
              <w:rPr>
                <w:noProof/>
                <w:webHidden/>
              </w:rPr>
              <w:fldChar w:fldCharType="begin"/>
            </w:r>
            <w:r>
              <w:rPr>
                <w:noProof/>
                <w:webHidden/>
              </w:rPr>
              <w:instrText xml:space="preserve"> PAGEREF _Toc177715585 \h </w:instrText>
            </w:r>
            <w:r>
              <w:rPr>
                <w:noProof/>
                <w:webHidden/>
              </w:rPr>
            </w:r>
            <w:r>
              <w:rPr>
                <w:noProof/>
                <w:webHidden/>
              </w:rPr>
              <w:fldChar w:fldCharType="separate"/>
            </w:r>
            <w:r>
              <w:rPr>
                <w:noProof/>
                <w:webHidden/>
              </w:rPr>
              <w:t>7</w:t>
            </w:r>
            <w:r>
              <w:rPr>
                <w:noProof/>
                <w:webHidden/>
              </w:rPr>
              <w:fldChar w:fldCharType="end"/>
            </w:r>
          </w:hyperlink>
        </w:p>
        <w:p w14:paraId="6D7E2F0B" w14:textId="001B9E8A" w:rsidR="003630A6" w:rsidRDefault="003630A6">
          <w:pPr>
            <w:pStyle w:val="TM2"/>
            <w:tabs>
              <w:tab w:val="left" w:pos="660"/>
              <w:tab w:val="right" w:leader="dot" w:pos="9062"/>
            </w:tabs>
            <w:rPr>
              <w:rFonts w:eastAsiaTheme="minorEastAsia"/>
              <w:noProof/>
              <w:sz w:val="22"/>
              <w:szCs w:val="22"/>
              <w:lang w:val="fr-FR" w:eastAsia="fr-FR"/>
            </w:rPr>
          </w:pPr>
          <w:hyperlink w:anchor="_Toc177715586" w:history="1">
            <w:r w:rsidRPr="00BF35C3">
              <w:rPr>
                <w:rStyle w:val="Lienhypertexte"/>
                <w:noProof/>
                <w:lang w:val="fr-FR"/>
              </w:rPr>
              <w:t>3.</w:t>
            </w:r>
            <w:r>
              <w:rPr>
                <w:rFonts w:eastAsiaTheme="minorEastAsia"/>
                <w:noProof/>
                <w:sz w:val="22"/>
                <w:szCs w:val="22"/>
                <w:lang w:val="fr-FR" w:eastAsia="fr-FR"/>
              </w:rPr>
              <w:tab/>
            </w:r>
            <w:r w:rsidRPr="00BF35C3">
              <w:rPr>
                <w:rStyle w:val="Lienhypertexte"/>
                <w:noProof/>
                <w:lang w:val="fr-FR"/>
              </w:rPr>
              <w:t>Les clauses</w:t>
            </w:r>
            <w:r>
              <w:rPr>
                <w:noProof/>
                <w:webHidden/>
              </w:rPr>
              <w:tab/>
            </w:r>
            <w:r>
              <w:rPr>
                <w:noProof/>
                <w:webHidden/>
              </w:rPr>
              <w:fldChar w:fldCharType="begin"/>
            </w:r>
            <w:r>
              <w:rPr>
                <w:noProof/>
                <w:webHidden/>
              </w:rPr>
              <w:instrText xml:space="preserve"> PAGEREF _Toc177715586 \h </w:instrText>
            </w:r>
            <w:r>
              <w:rPr>
                <w:noProof/>
                <w:webHidden/>
              </w:rPr>
            </w:r>
            <w:r>
              <w:rPr>
                <w:noProof/>
                <w:webHidden/>
              </w:rPr>
              <w:fldChar w:fldCharType="separate"/>
            </w:r>
            <w:r>
              <w:rPr>
                <w:noProof/>
                <w:webHidden/>
              </w:rPr>
              <w:t>7</w:t>
            </w:r>
            <w:r>
              <w:rPr>
                <w:noProof/>
                <w:webHidden/>
              </w:rPr>
              <w:fldChar w:fldCharType="end"/>
            </w:r>
          </w:hyperlink>
        </w:p>
        <w:p w14:paraId="1CDFB4A1" w14:textId="10F2C564" w:rsidR="003630A6" w:rsidRDefault="003630A6">
          <w:pPr>
            <w:pStyle w:val="TM2"/>
            <w:tabs>
              <w:tab w:val="left" w:pos="660"/>
              <w:tab w:val="right" w:leader="dot" w:pos="9062"/>
            </w:tabs>
            <w:rPr>
              <w:rFonts w:eastAsiaTheme="minorEastAsia"/>
              <w:noProof/>
              <w:sz w:val="22"/>
              <w:szCs w:val="22"/>
              <w:lang w:val="fr-FR" w:eastAsia="fr-FR"/>
            </w:rPr>
          </w:pPr>
          <w:hyperlink w:anchor="_Toc177715587" w:history="1">
            <w:r w:rsidRPr="00BF35C3">
              <w:rPr>
                <w:rStyle w:val="Lienhypertexte"/>
                <w:noProof/>
                <w:lang w:val="fr-FR"/>
              </w:rPr>
              <w:t>4.</w:t>
            </w:r>
            <w:r>
              <w:rPr>
                <w:rFonts w:eastAsiaTheme="minorEastAsia"/>
                <w:noProof/>
                <w:sz w:val="22"/>
                <w:szCs w:val="22"/>
                <w:lang w:val="fr-FR" w:eastAsia="fr-FR"/>
              </w:rPr>
              <w:tab/>
            </w:r>
            <w:r w:rsidRPr="00BF35C3">
              <w:rPr>
                <w:rStyle w:val="Lienhypertexte"/>
                <w:noProof/>
                <w:lang w:val="fr-FR"/>
              </w:rPr>
              <w:t>Clauses abusives dans les contrats numériques</w:t>
            </w:r>
            <w:r>
              <w:rPr>
                <w:noProof/>
                <w:webHidden/>
              </w:rPr>
              <w:tab/>
            </w:r>
            <w:r>
              <w:rPr>
                <w:noProof/>
                <w:webHidden/>
              </w:rPr>
              <w:fldChar w:fldCharType="begin"/>
            </w:r>
            <w:r>
              <w:rPr>
                <w:noProof/>
                <w:webHidden/>
              </w:rPr>
              <w:instrText xml:space="preserve"> PAGEREF _Toc177715587 \h </w:instrText>
            </w:r>
            <w:r>
              <w:rPr>
                <w:noProof/>
                <w:webHidden/>
              </w:rPr>
            </w:r>
            <w:r>
              <w:rPr>
                <w:noProof/>
                <w:webHidden/>
              </w:rPr>
              <w:fldChar w:fldCharType="separate"/>
            </w:r>
            <w:r>
              <w:rPr>
                <w:noProof/>
                <w:webHidden/>
              </w:rPr>
              <w:t>8</w:t>
            </w:r>
            <w:r>
              <w:rPr>
                <w:noProof/>
                <w:webHidden/>
              </w:rPr>
              <w:fldChar w:fldCharType="end"/>
            </w:r>
          </w:hyperlink>
        </w:p>
        <w:p w14:paraId="4D21533D" w14:textId="50DB45C6" w:rsidR="003630A6" w:rsidRDefault="003630A6">
          <w:pPr>
            <w:pStyle w:val="TM2"/>
            <w:tabs>
              <w:tab w:val="left" w:pos="660"/>
              <w:tab w:val="right" w:leader="dot" w:pos="9062"/>
            </w:tabs>
            <w:rPr>
              <w:rFonts w:eastAsiaTheme="minorEastAsia"/>
              <w:noProof/>
              <w:sz w:val="22"/>
              <w:szCs w:val="22"/>
              <w:lang w:val="fr-FR" w:eastAsia="fr-FR"/>
            </w:rPr>
          </w:pPr>
          <w:hyperlink w:anchor="_Toc177715588" w:history="1">
            <w:r w:rsidRPr="00BF35C3">
              <w:rPr>
                <w:rStyle w:val="Lienhypertexte"/>
                <w:noProof/>
                <w:lang w:val="fr-FR"/>
              </w:rPr>
              <w:t>5.</w:t>
            </w:r>
            <w:r>
              <w:rPr>
                <w:rFonts w:eastAsiaTheme="minorEastAsia"/>
                <w:noProof/>
                <w:sz w:val="22"/>
                <w:szCs w:val="22"/>
                <w:lang w:val="fr-FR" w:eastAsia="fr-FR"/>
              </w:rPr>
              <w:tab/>
            </w:r>
            <w:r w:rsidRPr="00BF35C3">
              <w:rPr>
                <w:rStyle w:val="Lienhypertexte"/>
                <w:noProof/>
                <w:lang w:val="fr-FR"/>
              </w:rPr>
              <w:t>Réponses aux questions d’évaluation</w:t>
            </w:r>
            <w:r>
              <w:rPr>
                <w:noProof/>
                <w:webHidden/>
              </w:rPr>
              <w:tab/>
            </w:r>
            <w:r>
              <w:rPr>
                <w:noProof/>
                <w:webHidden/>
              </w:rPr>
              <w:fldChar w:fldCharType="begin"/>
            </w:r>
            <w:r>
              <w:rPr>
                <w:noProof/>
                <w:webHidden/>
              </w:rPr>
              <w:instrText xml:space="preserve"> PAGEREF _Toc177715588 \h </w:instrText>
            </w:r>
            <w:r>
              <w:rPr>
                <w:noProof/>
                <w:webHidden/>
              </w:rPr>
            </w:r>
            <w:r>
              <w:rPr>
                <w:noProof/>
                <w:webHidden/>
              </w:rPr>
              <w:fldChar w:fldCharType="separate"/>
            </w:r>
            <w:r>
              <w:rPr>
                <w:noProof/>
                <w:webHidden/>
              </w:rPr>
              <w:t>8</w:t>
            </w:r>
            <w:r>
              <w:rPr>
                <w:noProof/>
                <w:webHidden/>
              </w:rPr>
              <w:fldChar w:fldCharType="end"/>
            </w:r>
          </w:hyperlink>
        </w:p>
        <w:p w14:paraId="12832155" w14:textId="32450749" w:rsidR="003630A6" w:rsidRDefault="003630A6">
          <w:pPr>
            <w:pStyle w:val="TM1"/>
            <w:tabs>
              <w:tab w:val="right" w:leader="dot" w:pos="9062"/>
            </w:tabs>
            <w:rPr>
              <w:rFonts w:eastAsiaTheme="minorEastAsia"/>
              <w:noProof/>
              <w:sz w:val="22"/>
              <w:szCs w:val="22"/>
              <w:lang w:val="fr-FR" w:eastAsia="fr-FR"/>
            </w:rPr>
          </w:pPr>
          <w:hyperlink w:anchor="_Toc177715589" w:history="1">
            <w:r w:rsidRPr="00BF35C3">
              <w:rPr>
                <w:rStyle w:val="Lienhypertexte"/>
                <w:noProof/>
                <w:lang w:val="fr-FR"/>
              </w:rPr>
              <w:t>Liens entre les notions</w:t>
            </w:r>
            <w:r>
              <w:rPr>
                <w:noProof/>
                <w:webHidden/>
              </w:rPr>
              <w:tab/>
            </w:r>
            <w:r>
              <w:rPr>
                <w:noProof/>
                <w:webHidden/>
              </w:rPr>
              <w:fldChar w:fldCharType="begin"/>
            </w:r>
            <w:r>
              <w:rPr>
                <w:noProof/>
                <w:webHidden/>
              </w:rPr>
              <w:instrText xml:space="preserve"> PAGEREF _Toc177715589 \h </w:instrText>
            </w:r>
            <w:r>
              <w:rPr>
                <w:noProof/>
                <w:webHidden/>
              </w:rPr>
            </w:r>
            <w:r>
              <w:rPr>
                <w:noProof/>
                <w:webHidden/>
              </w:rPr>
              <w:fldChar w:fldCharType="separate"/>
            </w:r>
            <w:r>
              <w:rPr>
                <w:noProof/>
                <w:webHidden/>
              </w:rPr>
              <w:t>9</w:t>
            </w:r>
            <w:r>
              <w:rPr>
                <w:noProof/>
                <w:webHidden/>
              </w:rPr>
              <w:fldChar w:fldCharType="end"/>
            </w:r>
          </w:hyperlink>
        </w:p>
        <w:p w14:paraId="4BA26902" w14:textId="0359ACBA" w:rsidR="003630A6" w:rsidRDefault="003630A6">
          <w:pPr>
            <w:pStyle w:val="TM1"/>
            <w:tabs>
              <w:tab w:val="right" w:leader="dot" w:pos="9062"/>
            </w:tabs>
            <w:rPr>
              <w:rFonts w:eastAsiaTheme="minorEastAsia"/>
              <w:noProof/>
              <w:sz w:val="22"/>
              <w:szCs w:val="22"/>
              <w:lang w:val="fr-FR" w:eastAsia="fr-FR"/>
            </w:rPr>
          </w:pPr>
          <w:hyperlink w:anchor="_Toc177715590" w:history="1">
            <w:r w:rsidRPr="00BF35C3">
              <w:rPr>
                <w:rStyle w:val="Lienhypertexte"/>
                <w:noProof/>
              </w:rPr>
              <w:t>Résumé</w:t>
            </w:r>
            <w:r>
              <w:rPr>
                <w:noProof/>
                <w:webHidden/>
              </w:rPr>
              <w:tab/>
            </w:r>
            <w:r>
              <w:rPr>
                <w:noProof/>
                <w:webHidden/>
              </w:rPr>
              <w:fldChar w:fldCharType="begin"/>
            </w:r>
            <w:r>
              <w:rPr>
                <w:noProof/>
                <w:webHidden/>
              </w:rPr>
              <w:instrText xml:space="preserve"> PAGEREF _Toc177715590 \h </w:instrText>
            </w:r>
            <w:r>
              <w:rPr>
                <w:noProof/>
                <w:webHidden/>
              </w:rPr>
            </w:r>
            <w:r>
              <w:rPr>
                <w:noProof/>
                <w:webHidden/>
              </w:rPr>
              <w:fldChar w:fldCharType="separate"/>
            </w:r>
            <w:r>
              <w:rPr>
                <w:noProof/>
                <w:webHidden/>
              </w:rPr>
              <w:t>9</w:t>
            </w:r>
            <w:r>
              <w:rPr>
                <w:noProof/>
                <w:webHidden/>
              </w:rPr>
              <w:fldChar w:fldCharType="end"/>
            </w:r>
          </w:hyperlink>
        </w:p>
        <w:p w14:paraId="30A3553C" w14:textId="431A5D60" w:rsidR="003630A6" w:rsidRDefault="003630A6">
          <w:pPr>
            <w:pStyle w:val="TM1"/>
            <w:tabs>
              <w:tab w:val="right" w:leader="dot" w:pos="9062"/>
            </w:tabs>
            <w:rPr>
              <w:rFonts w:eastAsiaTheme="minorEastAsia"/>
              <w:noProof/>
              <w:sz w:val="22"/>
              <w:szCs w:val="22"/>
              <w:lang w:val="fr-FR" w:eastAsia="fr-FR"/>
            </w:rPr>
          </w:pPr>
          <w:hyperlink w:anchor="_Toc177715591" w:history="1">
            <w:r w:rsidRPr="00BF35C3">
              <w:rPr>
                <w:rStyle w:val="Lienhypertexte"/>
                <w:noProof/>
              </w:rPr>
              <w:t>Exercice 1</w:t>
            </w:r>
            <w:r>
              <w:rPr>
                <w:noProof/>
                <w:webHidden/>
              </w:rPr>
              <w:tab/>
            </w:r>
            <w:r>
              <w:rPr>
                <w:noProof/>
                <w:webHidden/>
              </w:rPr>
              <w:fldChar w:fldCharType="begin"/>
            </w:r>
            <w:r>
              <w:rPr>
                <w:noProof/>
                <w:webHidden/>
              </w:rPr>
              <w:instrText xml:space="preserve"> PAGEREF _Toc177715591 \h </w:instrText>
            </w:r>
            <w:r>
              <w:rPr>
                <w:noProof/>
                <w:webHidden/>
              </w:rPr>
            </w:r>
            <w:r>
              <w:rPr>
                <w:noProof/>
                <w:webHidden/>
              </w:rPr>
              <w:fldChar w:fldCharType="separate"/>
            </w:r>
            <w:r>
              <w:rPr>
                <w:noProof/>
                <w:webHidden/>
              </w:rPr>
              <w:t>10</w:t>
            </w:r>
            <w:r>
              <w:rPr>
                <w:noProof/>
                <w:webHidden/>
              </w:rPr>
              <w:fldChar w:fldCharType="end"/>
            </w:r>
          </w:hyperlink>
        </w:p>
        <w:p w14:paraId="05099AAB" w14:textId="77FBBBE3" w:rsidR="003630A6" w:rsidRDefault="003630A6">
          <w:pPr>
            <w:pStyle w:val="TM1"/>
            <w:tabs>
              <w:tab w:val="right" w:leader="dot" w:pos="9062"/>
            </w:tabs>
            <w:rPr>
              <w:rFonts w:eastAsiaTheme="minorEastAsia"/>
              <w:noProof/>
              <w:sz w:val="22"/>
              <w:szCs w:val="22"/>
              <w:lang w:val="fr-FR" w:eastAsia="fr-FR"/>
            </w:rPr>
          </w:pPr>
          <w:hyperlink w:anchor="_Toc177715592" w:history="1">
            <w:r w:rsidRPr="00BF35C3">
              <w:rPr>
                <w:rStyle w:val="Lienhypertexte"/>
                <w:noProof/>
              </w:rPr>
              <w:t>Exercice 2</w:t>
            </w:r>
            <w:r>
              <w:rPr>
                <w:noProof/>
                <w:webHidden/>
              </w:rPr>
              <w:tab/>
            </w:r>
            <w:r>
              <w:rPr>
                <w:noProof/>
                <w:webHidden/>
              </w:rPr>
              <w:fldChar w:fldCharType="begin"/>
            </w:r>
            <w:r>
              <w:rPr>
                <w:noProof/>
                <w:webHidden/>
              </w:rPr>
              <w:instrText xml:space="preserve"> PAGEREF _Toc177715592 \h </w:instrText>
            </w:r>
            <w:r>
              <w:rPr>
                <w:noProof/>
                <w:webHidden/>
              </w:rPr>
            </w:r>
            <w:r>
              <w:rPr>
                <w:noProof/>
                <w:webHidden/>
              </w:rPr>
              <w:fldChar w:fldCharType="separate"/>
            </w:r>
            <w:r>
              <w:rPr>
                <w:noProof/>
                <w:webHidden/>
              </w:rPr>
              <w:t>11</w:t>
            </w:r>
            <w:r>
              <w:rPr>
                <w:noProof/>
                <w:webHidden/>
              </w:rPr>
              <w:fldChar w:fldCharType="end"/>
            </w:r>
          </w:hyperlink>
        </w:p>
        <w:p w14:paraId="100346E6" w14:textId="5C7F4A9E" w:rsidR="00D91A8F" w:rsidRDefault="00D91A8F">
          <w:r>
            <w:rPr>
              <w:b/>
              <w:bCs/>
              <w:lang w:val="fr-FR"/>
            </w:rPr>
            <w:fldChar w:fldCharType="end"/>
          </w:r>
        </w:p>
      </w:sdtContent>
    </w:sdt>
    <w:p w14:paraId="58073A7B" w14:textId="77777777" w:rsidR="00D91A8F" w:rsidRDefault="00D91A8F" w:rsidP="006F7BB0">
      <w:pPr>
        <w:pStyle w:val="Sansinterligne"/>
        <w:rPr>
          <w:b/>
          <w:bCs/>
          <w:u w:val="single"/>
        </w:rPr>
      </w:pPr>
    </w:p>
    <w:p w14:paraId="4B50A730" w14:textId="77777777" w:rsidR="00953899" w:rsidRDefault="00953899">
      <w:pPr>
        <w:rPr>
          <w:b/>
          <w:bCs/>
          <w:color w:val="C00000"/>
          <w:u w:val="single"/>
        </w:rPr>
      </w:pPr>
      <w:r>
        <w:rPr>
          <w:b/>
          <w:bCs/>
          <w:color w:val="C00000"/>
          <w:u w:val="single"/>
        </w:rPr>
        <w:br w:type="page"/>
      </w:r>
    </w:p>
    <w:p w14:paraId="23795858" w14:textId="13A2101B" w:rsidR="00D91A8F" w:rsidRDefault="00D91A8F" w:rsidP="00DA784D">
      <w:pPr>
        <w:pStyle w:val="Sansinterligne"/>
        <w:jc w:val="center"/>
        <w:rPr>
          <w:b/>
          <w:bCs/>
          <w:color w:val="C00000"/>
          <w:u w:val="single"/>
        </w:rPr>
      </w:pPr>
      <w:r w:rsidRPr="00DA784D">
        <w:rPr>
          <w:b/>
          <w:bCs/>
          <w:color w:val="C00000"/>
          <w:u w:val="single"/>
        </w:rPr>
        <w:lastRenderedPageBreak/>
        <w:t>LE COURS</w:t>
      </w:r>
    </w:p>
    <w:p w14:paraId="5A77C94E" w14:textId="77777777" w:rsidR="00683477" w:rsidRDefault="00683477" w:rsidP="003630A6">
      <w:pPr>
        <w:pStyle w:val="Sansinterligne"/>
      </w:pPr>
    </w:p>
    <w:p w14:paraId="75747FA8" w14:textId="1067963B" w:rsidR="003630A6" w:rsidRDefault="003630A6" w:rsidP="003630A6">
      <w:pPr>
        <w:pStyle w:val="Titre1"/>
      </w:pPr>
      <w:bookmarkStart w:id="0" w:name="_Toc177715571"/>
      <w:r>
        <w:t>Cas pratiques</w:t>
      </w:r>
      <w:bookmarkEnd w:id="0"/>
    </w:p>
    <w:p w14:paraId="1DFC7E33" w14:textId="77777777" w:rsidR="003630A6" w:rsidRPr="003630A6" w:rsidRDefault="003630A6" w:rsidP="003630A6">
      <w:pPr>
        <w:pStyle w:val="Sansinterligne"/>
      </w:pPr>
    </w:p>
    <w:tbl>
      <w:tblPr>
        <w:tblStyle w:val="Grilledutableau"/>
        <w:tblW w:w="0" w:type="auto"/>
        <w:tblLook w:val="04A0" w:firstRow="1" w:lastRow="0" w:firstColumn="1" w:lastColumn="0" w:noHBand="0" w:noVBand="1"/>
      </w:tblPr>
      <w:tblGrid>
        <w:gridCol w:w="9062"/>
      </w:tblGrid>
      <w:tr w:rsidR="00683477" w14:paraId="2A470812" w14:textId="77777777" w:rsidTr="00683477">
        <w:tc>
          <w:tcPr>
            <w:tcW w:w="9062" w:type="dxa"/>
          </w:tcPr>
          <w:p w14:paraId="50B04032" w14:textId="1B7FC203" w:rsidR="00683477" w:rsidRDefault="00683477" w:rsidP="00683477">
            <w:pPr>
              <w:pStyle w:val="Sansinterligne"/>
              <w:rPr>
                <w:lang w:val="fr-FR"/>
              </w:rPr>
            </w:pPr>
            <w:r w:rsidRPr="00683477">
              <w:rPr>
                <w:b/>
                <w:bCs/>
                <w:lang w:val="fr-FR"/>
              </w:rPr>
              <w:t>La preuve électronique dans un litige commercial</w:t>
            </w:r>
            <w:r w:rsidRPr="00683477">
              <w:rPr>
                <w:lang w:val="fr-FR"/>
              </w:rPr>
              <w:t xml:space="preserve"> </w:t>
            </w:r>
          </w:p>
          <w:p w14:paraId="2EBEC013" w14:textId="77777777" w:rsidR="00683477" w:rsidRDefault="00683477" w:rsidP="00683477">
            <w:pPr>
              <w:pStyle w:val="Sansinterligne"/>
              <w:rPr>
                <w:lang w:val="fr-FR"/>
              </w:rPr>
            </w:pPr>
          </w:p>
          <w:p w14:paraId="25B5D12C" w14:textId="149B8EB7" w:rsidR="00683477" w:rsidRPr="00683477" w:rsidRDefault="00683477" w:rsidP="00683477">
            <w:pPr>
              <w:pStyle w:val="Sansinterligne"/>
              <w:rPr>
                <w:lang w:val="fr-FR"/>
              </w:rPr>
            </w:pPr>
            <w:r w:rsidRPr="00683477">
              <w:rPr>
                <w:lang w:val="fr-FR"/>
              </w:rPr>
              <w:t>Un client achète un logiciel en ligne et, après quelques mois, rencontre des dysfonctionnements importants. Il contacte le vendeur pour demander réparation, mais ce dernier conteste la réclamation, affirmant que l’achat n’a jamais eu lieu. Le client a conservé un email de confirmation de commande et une capture d'écran du paiement effectué.</w:t>
            </w:r>
          </w:p>
          <w:p w14:paraId="07D4227B" w14:textId="77777777" w:rsidR="00683477" w:rsidRDefault="00683477" w:rsidP="00683477">
            <w:pPr>
              <w:pStyle w:val="Sansinterligne"/>
              <w:rPr>
                <w:b/>
                <w:bCs/>
                <w:lang w:val="fr-FR"/>
              </w:rPr>
            </w:pPr>
          </w:p>
          <w:p w14:paraId="4B264A71" w14:textId="66DB5837" w:rsidR="00683477" w:rsidRPr="00683477" w:rsidRDefault="00683477" w:rsidP="00683477">
            <w:pPr>
              <w:pStyle w:val="Sansinterligne"/>
              <w:rPr>
                <w:lang w:val="fr-FR"/>
              </w:rPr>
            </w:pPr>
            <w:r w:rsidRPr="00683477">
              <w:rPr>
                <w:b/>
                <w:bCs/>
                <w:lang w:val="fr-FR"/>
              </w:rPr>
              <w:t>Mise en contexte :</w:t>
            </w:r>
            <w:r w:rsidRPr="00683477">
              <w:rPr>
                <w:lang w:val="fr-FR"/>
              </w:rPr>
              <w:t xml:space="preserve"> Ce cas soulève la question de l’authenticité et de la validité des documents numériques comme preuves dans un litige. Nous allons explorer comment la preuve électronique peut être utilisée en droit pour appuyer ou réfuter une revendication.</w:t>
            </w:r>
          </w:p>
          <w:p w14:paraId="1702B981" w14:textId="77777777" w:rsidR="00683477" w:rsidRPr="00683477" w:rsidRDefault="00683477" w:rsidP="00683477">
            <w:pPr>
              <w:pStyle w:val="Sansinterligne"/>
              <w:rPr>
                <w:lang w:val="fr-FR"/>
              </w:rPr>
            </w:pPr>
            <w:r w:rsidRPr="00683477">
              <w:rPr>
                <w:lang w:val="fr-FR"/>
              </w:rPr>
              <w:pict w14:anchorId="6BF0418D">
                <v:rect id="_x0000_i1025" style="width:0;height:1.5pt" o:hralign="center" o:hrstd="t" o:hr="t" fillcolor="#a0a0a0" stroked="f"/>
              </w:pict>
            </w:r>
          </w:p>
          <w:p w14:paraId="32282028" w14:textId="77777777" w:rsidR="00683477" w:rsidRDefault="00683477" w:rsidP="00683477">
            <w:pPr>
              <w:pStyle w:val="Sansinterligne"/>
              <w:rPr>
                <w:lang w:val="fr-FR"/>
              </w:rPr>
            </w:pPr>
            <w:r w:rsidRPr="00683477">
              <w:rPr>
                <w:b/>
                <w:bCs/>
                <w:lang w:val="fr-FR"/>
              </w:rPr>
              <w:t>Le contrat de vente électronique</w:t>
            </w:r>
            <w:r w:rsidRPr="00683477">
              <w:rPr>
                <w:lang w:val="fr-FR"/>
              </w:rPr>
              <w:t xml:space="preserve"> </w:t>
            </w:r>
          </w:p>
          <w:p w14:paraId="1992BAD2" w14:textId="77777777" w:rsidR="00683477" w:rsidRDefault="00683477" w:rsidP="00683477">
            <w:pPr>
              <w:pStyle w:val="Sansinterligne"/>
              <w:rPr>
                <w:lang w:val="fr-FR"/>
              </w:rPr>
            </w:pPr>
          </w:p>
          <w:p w14:paraId="5E934548" w14:textId="486659E0" w:rsidR="00683477" w:rsidRPr="00683477" w:rsidRDefault="00683477" w:rsidP="00683477">
            <w:pPr>
              <w:pStyle w:val="Sansinterligne"/>
              <w:rPr>
                <w:lang w:val="fr-FR"/>
              </w:rPr>
            </w:pPr>
            <w:r w:rsidRPr="00683477">
              <w:rPr>
                <w:lang w:val="fr-FR"/>
              </w:rPr>
              <w:t>Un particulier achète une console de jeux vidéo sur un site de e-commerce. Le produit reçu est défectueux, et le vendeur refuse de le remplacer en invoquant une clause du contrat de vente électronique qui limite les garanties aux produits achetés lors de promotions spéciales.</w:t>
            </w:r>
          </w:p>
          <w:p w14:paraId="3A314AEE" w14:textId="77777777" w:rsidR="00683477" w:rsidRDefault="00683477" w:rsidP="00683477">
            <w:pPr>
              <w:pStyle w:val="Sansinterligne"/>
              <w:rPr>
                <w:b/>
                <w:bCs/>
                <w:lang w:val="fr-FR"/>
              </w:rPr>
            </w:pPr>
          </w:p>
          <w:p w14:paraId="52D5B691" w14:textId="2D15D8F7" w:rsidR="00683477" w:rsidRPr="00683477" w:rsidRDefault="00683477" w:rsidP="00683477">
            <w:pPr>
              <w:pStyle w:val="Sansinterligne"/>
              <w:rPr>
                <w:lang w:val="fr-FR"/>
              </w:rPr>
            </w:pPr>
            <w:r w:rsidRPr="00683477">
              <w:rPr>
                <w:b/>
                <w:bCs/>
                <w:lang w:val="fr-FR"/>
              </w:rPr>
              <w:t>Mise en contexte :</w:t>
            </w:r>
            <w:r w:rsidRPr="00683477">
              <w:rPr>
                <w:lang w:val="fr-FR"/>
              </w:rPr>
              <w:t xml:space="preserve"> Ce cas nous permet de réfléchir aux clauses abusives et à la manière dont elles peuvent affecter les droits des consommateurs dans le cadre des contrats de vente électroniques.</w:t>
            </w:r>
          </w:p>
          <w:p w14:paraId="6BC9C997" w14:textId="77777777" w:rsidR="00683477" w:rsidRPr="00683477" w:rsidRDefault="00683477" w:rsidP="00683477">
            <w:pPr>
              <w:pStyle w:val="Sansinterligne"/>
              <w:rPr>
                <w:lang w:val="fr-FR"/>
              </w:rPr>
            </w:pPr>
            <w:r w:rsidRPr="00683477">
              <w:rPr>
                <w:lang w:val="fr-FR"/>
              </w:rPr>
              <w:pict w14:anchorId="7B0FBC40">
                <v:rect id="_x0000_i1026" style="width:0;height:1.5pt" o:hralign="center" o:hrstd="t" o:hr="t" fillcolor="#a0a0a0" stroked="f"/>
              </w:pict>
            </w:r>
          </w:p>
          <w:p w14:paraId="579173DC" w14:textId="77777777" w:rsidR="00683477" w:rsidRDefault="00683477" w:rsidP="00683477">
            <w:pPr>
              <w:pStyle w:val="Sansinterligne"/>
              <w:rPr>
                <w:lang w:val="fr-FR"/>
              </w:rPr>
            </w:pPr>
            <w:r w:rsidRPr="00683477">
              <w:rPr>
                <w:b/>
                <w:bCs/>
                <w:lang w:val="fr-FR"/>
              </w:rPr>
              <w:t>Le contrat de prestations de service numérique</w:t>
            </w:r>
            <w:r w:rsidRPr="00683477">
              <w:rPr>
                <w:lang w:val="fr-FR"/>
              </w:rPr>
              <w:t xml:space="preserve"> </w:t>
            </w:r>
          </w:p>
          <w:p w14:paraId="37D563AD" w14:textId="77777777" w:rsidR="00683477" w:rsidRDefault="00683477" w:rsidP="00683477">
            <w:pPr>
              <w:pStyle w:val="Sansinterligne"/>
              <w:rPr>
                <w:lang w:val="fr-FR"/>
              </w:rPr>
            </w:pPr>
          </w:p>
          <w:p w14:paraId="37479BCB" w14:textId="02169817" w:rsidR="00683477" w:rsidRPr="00683477" w:rsidRDefault="00683477" w:rsidP="00683477">
            <w:pPr>
              <w:pStyle w:val="Sansinterligne"/>
              <w:rPr>
                <w:lang w:val="fr-FR"/>
              </w:rPr>
            </w:pPr>
            <w:r w:rsidRPr="00683477">
              <w:rPr>
                <w:lang w:val="fr-FR"/>
              </w:rPr>
              <w:t>Une entreprise signe un contrat avec un prestataire pour développer une application mobile. Après plusieurs mois de retard et des performances insatisfaisantes de l’application, l’entreprise souhaite résilier le contrat. Le prestataire, cependant, invoque une clause de pénalité prévue en cas de rupture anticipée.</w:t>
            </w:r>
          </w:p>
          <w:p w14:paraId="7700D495" w14:textId="77777777" w:rsidR="00683477" w:rsidRDefault="00683477" w:rsidP="00683477">
            <w:pPr>
              <w:pStyle w:val="Sansinterligne"/>
              <w:rPr>
                <w:b/>
                <w:bCs/>
                <w:lang w:val="fr-FR"/>
              </w:rPr>
            </w:pPr>
          </w:p>
          <w:p w14:paraId="513090FD" w14:textId="105DBBF8" w:rsidR="00683477" w:rsidRPr="00683477" w:rsidRDefault="00683477" w:rsidP="00683477">
            <w:pPr>
              <w:pStyle w:val="Sansinterligne"/>
              <w:rPr>
                <w:lang w:val="fr-FR"/>
              </w:rPr>
            </w:pPr>
            <w:r w:rsidRPr="00683477">
              <w:rPr>
                <w:b/>
                <w:bCs/>
                <w:lang w:val="fr-FR"/>
              </w:rPr>
              <w:t>Mise en contexte :</w:t>
            </w:r>
            <w:r w:rsidRPr="00683477">
              <w:rPr>
                <w:lang w:val="fr-FR"/>
              </w:rPr>
              <w:t xml:space="preserve"> Nous allons examiner comment les clauses spécifiques de ce type de contrat influencent les relations entre les parties et quelles protections sont offertes aux entreprises contre les mauvaises prestations.</w:t>
            </w:r>
          </w:p>
          <w:p w14:paraId="0F5AD26B" w14:textId="77777777" w:rsidR="00683477" w:rsidRDefault="00683477" w:rsidP="00683477">
            <w:pPr>
              <w:pStyle w:val="Sansinterligne"/>
            </w:pPr>
          </w:p>
        </w:tc>
      </w:tr>
    </w:tbl>
    <w:p w14:paraId="03664179" w14:textId="77777777" w:rsidR="00683477" w:rsidRDefault="00683477" w:rsidP="00683477">
      <w:pPr>
        <w:pStyle w:val="Sansinterligne"/>
      </w:pPr>
    </w:p>
    <w:p w14:paraId="59754C3B" w14:textId="01AB85C4" w:rsidR="00683477" w:rsidRDefault="00683477" w:rsidP="00683477">
      <w:pPr>
        <w:pStyle w:val="Titre1"/>
      </w:pPr>
      <w:bookmarkStart w:id="1" w:name="_Toc177715572"/>
      <w:r>
        <w:t>Définitions</w:t>
      </w:r>
      <w:bookmarkEnd w:id="1"/>
    </w:p>
    <w:p w14:paraId="7BD8F679" w14:textId="77777777" w:rsidR="00683477" w:rsidRDefault="00683477" w:rsidP="00683477"/>
    <w:p w14:paraId="75DCCB75" w14:textId="77777777" w:rsidR="00683477" w:rsidRPr="00683477" w:rsidRDefault="00683477" w:rsidP="00683477">
      <w:pPr>
        <w:rPr>
          <w:lang w:val="fr-FR"/>
        </w:rPr>
      </w:pPr>
      <w:r w:rsidRPr="00683477">
        <w:rPr>
          <w:b/>
          <w:bCs/>
          <w:lang w:val="fr-FR"/>
        </w:rPr>
        <w:t>La preuve électronique</w:t>
      </w:r>
    </w:p>
    <w:p w14:paraId="327643A9" w14:textId="77777777" w:rsidR="00683477" w:rsidRPr="00683477" w:rsidRDefault="00683477" w:rsidP="00683477">
      <w:pPr>
        <w:numPr>
          <w:ilvl w:val="0"/>
          <w:numId w:val="16"/>
        </w:numPr>
        <w:rPr>
          <w:lang w:val="fr-FR"/>
        </w:rPr>
      </w:pPr>
      <w:r w:rsidRPr="00683477">
        <w:rPr>
          <w:b/>
          <w:bCs/>
          <w:lang w:val="fr-FR"/>
        </w:rPr>
        <w:t>Définition :</w:t>
      </w:r>
      <w:r w:rsidRPr="00683477">
        <w:rPr>
          <w:lang w:val="fr-FR"/>
        </w:rPr>
        <w:t xml:space="preserve"> La preuve électronique désigne tout document, fichier ou trace numérique susceptible d’être utilisé pour prouver un fait juridique. Elle peut inclure des emails, des fichiers PDF, des données d'accès, ou même des enregistrements de transactions.</w:t>
      </w:r>
    </w:p>
    <w:p w14:paraId="7E0E837B" w14:textId="77777777" w:rsidR="00683477" w:rsidRPr="00683477" w:rsidRDefault="00683477" w:rsidP="00683477">
      <w:pPr>
        <w:numPr>
          <w:ilvl w:val="0"/>
          <w:numId w:val="16"/>
        </w:numPr>
        <w:rPr>
          <w:lang w:val="fr-FR"/>
        </w:rPr>
      </w:pPr>
      <w:r w:rsidRPr="00683477">
        <w:rPr>
          <w:b/>
          <w:bCs/>
          <w:lang w:val="fr-FR"/>
        </w:rPr>
        <w:t>Analyse du cas pratique 1 :</w:t>
      </w:r>
      <w:r w:rsidRPr="00683477">
        <w:rPr>
          <w:lang w:val="fr-FR"/>
        </w:rPr>
        <w:t xml:space="preserve"> Dans ce cas, l’email de confirmation de commande et la capture d’écran du paiement constituent des preuves électroniques. Pour qu’elles soient recevables, elles doivent être authentifiées et reconnues par un juge comme fiables.</w:t>
      </w:r>
    </w:p>
    <w:p w14:paraId="2AD54B6E" w14:textId="77777777" w:rsidR="00683477" w:rsidRDefault="00683477" w:rsidP="00683477">
      <w:pPr>
        <w:rPr>
          <w:b/>
          <w:bCs/>
          <w:lang w:val="fr-FR"/>
        </w:rPr>
      </w:pPr>
    </w:p>
    <w:p w14:paraId="0DD704C4" w14:textId="603D4D8F" w:rsidR="00683477" w:rsidRPr="00683477" w:rsidRDefault="00683477" w:rsidP="00683477">
      <w:pPr>
        <w:rPr>
          <w:lang w:val="fr-FR"/>
        </w:rPr>
      </w:pPr>
      <w:r w:rsidRPr="00683477">
        <w:rPr>
          <w:b/>
          <w:bCs/>
          <w:lang w:val="fr-FR"/>
        </w:rPr>
        <w:t>Le contrat de vente électronique</w:t>
      </w:r>
    </w:p>
    <w:p w14:paraId="0CDE8914" w14:textId="77777777" w:rsidR="00683477" w:rsidRPr="00683477" w:rsidRDefault="00683477" w:rsidP="00683477">
      <w:pPr>
        <w:numPr>
          <w:ilvl w:val="0"/>
          <w:numId w:val="17"/>
        </w:numPr>
        <w:rPr>
          <w:lang w:val="fr-FR"/>
        </w:rPr>
      </w:pPr>
      <w:r w:rsidRPr="00683477">
        <w:rPr>
          <w:b/>
          <w:bCs/>
          <w:lang w:val="fr-FR"/>
        </w:rPr>
        <w:t>Définition :</w:t>
      </w:r>
      <w:r w:rsidRPr="00683477">
        <w:rPr>
          <w:lang w:val="fr-FR"/>
        </w:rPr>
        <w:t xml:space="preserve"> Un contrat de vente électronique est un accord de vente conclu en ligne, souvent par le biais de plateformes de e-commerce. Ce type de contrat doit répondre aux mêmes exigences que les contrats physiques, mais soulève des questions spécifiques concernant la transparence des clauses, notamment celles relatives aux garanties et aux droits des consommateurs.</w:t>
      </w:r>
    </w:p>
    <w:p w14:paraId="503D8EBE" w14:textId="77777777" w:rsidR="00683477" w:rsidRPr="00683477" w:rsidRDefault="00683477" w:rsidP="00683477">
      <w:pPr>
        <w:numPr>
          <w:ilvl w:val="0"/>
          <w:numId w:val="17"/>
        </w:numPr>
        <w:rPr>
          <w:lang w:val="fr-FR"/>
        </w:rPr>
      </w:pPr>
      <w:r w:rsidRPr="00683477">
        <w:rPr>
          <w:b/>
          <w:bCs/>
          <w:lang w:val="fr-FR"/>
        </w:rPr>
        <w:lastRenderedPageBreak/>
        <w:t>Analyse du cas pratique 2 :</w:t>
      </w:r>
      <w:r w:rsidRPr="00683477">
        <w:rPr>
          <w:lang w:val="fr-FR"/>
        </w:rPr>
        <w:t xml:space="preserve"> Ici, la clause de garantie limitée à des promotions spéciales pourrait être abusive, car elle porte atteinte aux droits fondamentaux du consommateur.</w:t>
      </w:r>
    </w:p>
    <w:p w14:paraId="5BDE49F3" w14:textId="77777777" w:rsidR="00683477" w:rsidRDefault="00683477" w:rsidP="00683477">
      <w:pPr>
        <w:rPr>
          <w:b/>
          <w:bCs/>
          <w:lang w:val="fr-FR"/>
        </w:rPr>
      </w:pPr>
    </w:p>
    <w:p w14:paraId="6499FDFE" w14:textId="53BB84B1" w:rsidR="00683477" w:rsidRPr="00683477" w:rsidRDefault="00683477" w:rsidP="00683477">
      <w:pPr>
        <w:rPr>
          <w:lang w:val="fr-FR"/>
        </w:rPr>
      </w:pPr>
      <w:r w:rsidRPr="00683477">
        <w:rPr>
          <w:b/>
          <w:bCs/>
          <w:lang w:val="fr-FR"/>
        </w:rPr>
        <w:t>Le contrat de prestations de service numérique</w:t>
      </w:r>
    </w:p>
    <w:p w14:paraId="02B1D37E" w14:textId="77777777" w:rsidR="00683477" w:rsidRPr="00683477" w:rsidRDefault="00683477" w:rsidP="00683477">
      <w:pPr>
        <w:numPr>
          <w:ilvl w:val="0"/>
          <w:numId w:val="18"/>
        </w:numPr>
        <w:rPr>
          <w:lang w:val="fr-FR"/>
        </w:rPr>
      </w:pPr>
      <w:r w:rsidRPr="00683477">
        <w:rPr>
          <w:b/>
          <w:bCs/>
          <w:lang w:val="fr-FR"/>
        </w:rPr>
        <w:t>Définition :</w:t>
      </w:r>
      <w:r w:rsidRPr="00683477">
        <w:rPr>
          <w:lang w:val="fr-FR"/>
        </w:rPr>
        <w:t xml:space="preserve"> Il s'agit d'un contrat par lequel un prestataire s'engage à fournir un service numérique (développement de logiciel, maintenance informatique, etc.) moyennant rémunération. Ce type de contrat comporte souvent des clauses spécifiques sur la durée, la performance, et la gestion des retards.</w:t>
      </w:r>
    </w:p>
    <w:p w14:paraId="7B0B308F" w14:textId="77777777" w:rsidR="00683477" w:rsidRPr="00683477" w:rsidRDefault="00683477" w:rsidP="00683477">
      <w:pPr>
        <w:numPr>
          <w:ilvl w:val="0"/>
          <w:numId w:val="18"/>
        </w:numPr>
        <w:rPr>
          <w:lang w:val="fr-FR"/>
        </w:rPr>
      </w:pPr>
      <w:r w:rsidRPr="00683477">
        <w:rPr>
          <w:b/>
          <w:bCs/>
          <w:lang w:val="fr-FR"/>
        </w:rPr>
        <w:t>Analyse du cas pratique 3 :</w:t>
      </w:r>
      <w:r w:rsidRPr="00683477">
        <w:rPr>
          <w:lang w:val="fr-FR"/>
        </w:rPr>
        <w:t xml:space="preserve"> Dans ce cas, la clause de pénalité doit être évaluée pour voir si elle est proportionnelle et justifiée, et si les manquements du prestataire pourraient donner lieu à une annulation sans frais.</w:t>
      </w:r>
    </w:p>
    <w:p w14:paraId="0865A23B" w14:textId="77777777" w:rsidR="00683477" w:rsidRDefault="00683477" w:rsidP="00683477"/>
    <w:p w14:paraId="4CAF00DE" w14:textId="02B11C7A" w:rsidR="00683477" w:rsidRDefault="00683477" w:rsidP="00683477">
      <w:pPr>
        <w:pStyle w:val="Titre1"/>
        <w:rPr>
          <w:lang w:val="fr-FR"/>
        </w:rPr>
      </w:pPr>
      <w:bookmarkStart w:id="2" w:name="_Toc177715573"/>
      <w:r w:rsidRPr="00683477">
        <w:rPr>
          <w:lang w:val="fr-FR"/>
        </w:rPr>
        <w:t xml:space="preserve">La preuve électronique : </w:t>
      </w:r>
      <w:r>
        <w:rPr>
          <w:lang w:val="fr-FR"/>
        </w:rPr>
        <w:t>t</w:t>
      </w:r>
      <w:r w:rsidRPr="00683477">
        <w:rPr>
          <w:lang w:val="fr-FR"/>
        </w:rPr>
        <w:t>héories et mécanismes</w:t>
      </w:r>
      <w:bookmarkEnd w:id="2"/>
    </w:p>
    <w:p w14:paraId="707F1E0F" w14:textId="77777777" w:rsidR="00683477" w:rsidRPr="00683477" w:rsidRDefault="00683477" w:rsidP="00683477">
      <w:pPr>
        <w:rPr>
          <w:lang w:val="fr-FR"/>
        </w:rPr>
      </w:pPr>
    </w:p>
    <w:p w14:paraId="70C116EB" w14:textId="0867644B" w:rsidR="00683477" w:rsidRPr="00683477" w:rsidRDefault="00683477" w:rsidP="00683477">
      <w:pPr>
        <w:rPr>
          <w:lang w:val="fr-FR"/>
        </w:rPr>
      </w:pPr>
      <w:r w:rsidRPr="00683477">
        <w:rPr>
          <w:lang w:val="fr-FR"/>
        </w:rPr>
        <w:t>La preuve électronique est régie par le</w:t>
      </w:r>
      <w:r>
        <w:rPr>
          <w:lang w:val="fr-FR"/>
        </w:rPr>
        <w:t xml:space="preserve"> </w:t>
      </w:r>
      <w:r w:rsidRPr="00683477">
        <w:rPr>
          <w:b/>
          <w:bCs/>
          <w:lang w:val="fr-FR"/>
        </w:rPr>
        <w:t>Code civil</w:t>
      </w:r>
      <w:r w:rsidRPr="00683477">
        <w:rPr>
          <w:lang w:val="fr-FR"/>
        </w:rPr>
        <w:t xml:space="preserve">, et plus particulièrement par les articles 1365 et suivants, ainsi que le </w:t>
      </w:r>
      <w:r w:rsidRPr="00683477">
        <w:rPr>
          <w:b/>
          <w:bCs/>
          <w:lang w:val="fr-FR"/>
        </w:rPr>
        <w:t xml:space="preserve">Règlement </w:t>
      </w:r>
      <w:proofErr w:type="spellStart"/>
      <w:r w:rsidRPr="00683477">
        <w:rPr>
          <w:b/>
          <w:bCs/>
          <w:lang w:val="fr-FR"/>
        </w:rPr>
        <w:t>eIDAS</w:t>
      </w:r>
      <w:proofErr w:type="spellEnd"/>
      <w:r w:rsidRPr="00683477">
        <w:rPr>
          <w:b/>
          <w:bCs/>
          <w:lang w:val="fr-FR"/>
        </w:rPr>
        <w:t xml:space="preserve"> (n°910/2014)</w:t>
      </w:r>
      <w:r w:rsidRPr="00683477">
        <w:rPr>
          <w:lang w:val="fr-FR"/>
        </w:rPr>
        <w:t xml:space="preserve"> pour ce qui concerne la signature électronique.</w:t>
      </w:r>
    </w:p>
    <w:p w14:paraId="0CC9845F" w14:textId="77777777" w:rsidR="00683477" w:rsidRDefault="00683477" w:rsidP="00683477">
      <w:pPr>
        <w:rPr>
          <w:b/>
          <w:bCs/>
          <w:lang w:val="fr-FR"/>
        </w:rPr>
      </w:pPr>
    </w:p>
    <w:p w14:paraId="3A992025" w14:textId="34482997" w:rsidR="00683477" w:rsidRDefault="00683477" w:rsidP="003116DE">
      <w:pPr>
        <w:pStyle w:val="Titre2"/>
        <w:rPr>
          <w:lang w:val="fr-FR"/>
        </w:rPr>
      </w:pPr>
      <w:bookmarkStart w:id="3" w:name="_Toc177715574"/>
      <w:r w:rsidRPr="00683477">
        <w:rPr>
          <w:lang w:val="fr-FR"/>
        </w:rPr>
        <w:t>Références juridiques pertinentes</w:t>
      </w:r>
      <w:bookmarkEnd w:id="3"/>
    </w:p>
    <w:p w14:paraId="01310C94" w14:textId="77777777" w:rsidR="003116DE" w:rsidRPr="003116DE" w:rsidRDefault="003116DE" w:rsidP="003116DE">
      <w:pPr>
        <w:rPr>
          <w:lang w:val="fr-FR"/>
        </w:rPr>
      </w:pPr>
    </w:p>
    <w:p w14:paraId="1F72FF23" w14:textId="77777777" w:rsidR="00683477" w:rsidRPr="00683477" w:rsidRDefault="00683477" w:rsidP="00683477">
      <w:pPr>
        <w:numPr>
          <w:ilvl w:val="0"/>
          <w:numId w:val="19"/>
        </w:numPr>
        <w:rPr>
          <w:lang w:val="fr-FR"/>
        </w:rPr>
      </w:pPr>
      <w:r w:rsidRPr="00683477">
        <w:rPr>
          <w:b/>
          <w:bCs/>
          <w:lang w:val="fr-FR"/>
        </w:rPr>
        <w:t>Article 1365 du Code civil</w:t>
      </w:r>
      <w:r w:rsidRPr="00683477">
        <w:rPr>
          <w:lang w:val="fr-FR"/>
        </w:rPr>
        <w:t xml:space="preserve"> : « L'écrit consiste en une suite de lettres, de caractères, de chiffres ou de tout autre signe ou symbole dotés d'une signification intelligible, quels que soient leur support et leurs modalités de transmission. »</w:t>
      </w:r>
    </w:p>
    <w:p w14:paraId="19B2B76F" w14:textId="77777777" w:rsidR="00683477" w:rsidRPr="00683477" w:rsidRDefault="00683477" w:rsidP="00683477">
      <w:pPr>
        <w:numPr>
          <w:ilvl w:val="0"/>
          <w:numId w:val="19"/>
        </w:numPr>
        <w:rPr>
          <w:lang w:val="fr-FR"/>
        </w:rPr>
      </w:pPr>
      <w:r w:rsidRPr="00683477">
        <w:rPr>
          <w:b/>
          <w:bCs/>
          <w:lang w:val="fr-FR"/>
        </w:rPr>
        <w:t>Article 1366 du Code civil</w:t>
      </w:r>
      <w:r w:rsidRPr="00683477">
        <w:rPr>
          <w:lang w:val="fr-FR"/>
        </w:rPr>
        <w:t xml:space="preserve"> : « L'écrit électronique a la même force probante que l'écrit sur support papier, sous réserve que puisse être dûment identifiée la personne dont il émane et qu'il soit établi et conservé dans des conditions de nature à en garantir l'intégrité. »</w:t>
      </w:r>
    </w:p>
    <w:p w14:paraId="3FF16048" w14:textId="77777777" w:rsidR="00683477" w:rsidRDefault="00683477" w:rsidP="00683477">
      <w:pPr>
        <w:rPr>
          <w:b/>
          <w:bCs/>
          <w:lang w:val="fr-FR"/>
        </w:rPr>
      </w:pPr>
    </w:p>
    <w:p w14:paraId="7833EF5E" w14:textId="3D190A1D" w:rsidR="00683477" w:rsidRDefault="00683477" w:rsidP="003116DE">
      <w:pPr>
        <w:pStyle w:val="Titre2"/>
        <w:rPr>
          <w:lang w:val="fr-FR"/>
        </w:rPr>
      </w:pPr>
      <w:bookmarkStart w:id="4" w:name="_Toc177715575"/>
      <w:r w:rsidRPr="00683477">
        <w:rPr>
          <w:lang w:val="fr-FR"/>
        </w:rPr>
        <w:t>Conditions de recevabilité d’une preuve électronique</w:t>
      </w:r>
      <w:bookmarkEnd w:id="4"/>
    </w:p>
    <w:p w14:paraId="6530C251" w14:textId="77777777" w:rsidR="003116DE" w:rsidRPr="00683477" w:rsidRDefault="003116DE" w:rsidP="00683477">
      <w:pPr>
        <w:rPr>
          <w:b/>
          <w:bCs/>
          <w:lang w:val="fr-FR"/>
        </w:rPr>
      </w:pPr>
    </w:p>
    <w:p w14:paraId="7B72E560" w14:textId="77777777" w:rsidR="00683477" w:rsidRPr="00683477" w:rsidRDefault="00683477" w:rsidP="00683477">
      <w:pPr>
        <w:numPr>
          <w:ilvl w:val="0"/>
          <w:numId w:val="20"/>
        </w:numPr>
        <w:rPr>
          <w:lang w:val="fr-FR"/>
        </w:rPr>
      </w:pPr>
      <w:r w:rsidRPr="00683477">
        <w:rPr>
          <w:b/>
          <w:bCs/>
          <w:lang w:val="fr-FR"/>
        </w:rPr>
        <w:t>Authenticité</w:t>
      </w:r>
      <w:r w:rsidRPr="00683477">
        <w:rPr>
          <w:lang w:val="fr-FR"/>
        </w:rPr>
        <w:t xml:space="preserve"> : La preuve doit permettre d’identifier de manière certaine son auteur, comme exigé par l'article 1366 du Code civil.</w:t>
      </w:r>
    </w:p>
    <w:p w14:paraId="01D69A60" w14:textId="77777777" w:rsidR="00683477" w:rsidRPr="00683477" w:rsidRDefault="00683477" w:rsidP="00683477">
      <w:pPr>
        <w:numPr>
          <w:ilvl w:val="0"/>
          <w:numId w:val="20"/>
        </w:numPr>
        <w:rPr>
          <w:lang w:val="fr-FR"/>
        </w:rPr>
      </w:pPr>
      <w:r w:rsidRPr="00683477">
        <w:rPr>
          <w:b/>
          <w:bCs/>
          <w:lang w:val="fr-FR"/>
        </w:rPr>
        <w:t>Intégrité</w:t>
      </w:r>
      <w:r w:rsidRPr="00683477">
        <w:rPr>
          <w:lang w:val="fr-FR"/>
        </w:rPr>
        <w:t xml:space="preserve"> : L’article 1366 précise également que la preuve doit être établie et conservée dans des conditions garantissant son intégrité. Cela inclut l'utilisation de technologies comme la </w:t>
      </w:r>
      <w:r w:rsidRPr="00683477">
        <w:rPr>
          <w:b/>
          <w:bCs/>
          <w:lang w:val="fr-FR"/>
        </w:rPr>
        <w:t>signature électronique qualifiée</w:t>
      </w:r>
      <w:r w:rsidRPr="00683477">
        <w:rPr>
          <w:lang w:val="fr-FR"/>
        </w:rPr>
        <w:t xml:space="preserve"> définie par le </w:t>
      </w:r>
      <w:r w:rsidRPr="00683477">
        <w:rPr>
          <w:b/>
          <w:bCs/>
          <w:lang w:val="fr-FR"/>
        </w:rPr>
        <w:t xml:space="preserve">Règlement </w:t>
      </w:r>
      <w:proofErr w:type="spellStart"/>
      <w:r w:rsidRPr="00683477">
        <w:rPr>
          <w:b/>
          <w:bCs/>
          <w:lang w:val="fr-FR"/>
        </w:rPr>
        <w:t>eIDAS</w:t>
      </w:r>
      <w:proofErr w:type="spellEnd"/>
      <w:r w:rsidRPr="00683477">
        <w:rPr>
          <w:lang w:val="fr-FR"/>
        </w:rPr>
        <w:t>, qui bénéficie d'une présomption de fiabilité (article 25 du règlement).</w:t>
      </w:r>
    </w:p>
    <w:p w14:paraId="20ED0A27" w14:textId="77777777" w:rsidR="00683477" w:rsidRPr="00683477" w:rsidRDefault="00683477" w:rsidP="00683477">
      <w:pPr>
        <w:numPr>
          <w:ilvl w:val="0"/>
          <w:numId w:val="20"/>
        </w:numPr>
        <w:rPr>
          <w:lang w:val="fr-FR"/>
        </w:rPr>
      </w:pPr>
      <w:r w:rsidRPr="00683477">
        <w:rPr>
          <w:b/>
          <w:bCs/>
          <w:lang w:val="fr-FR"/>
        </w:rPr>
        <w:t>Licéité de la preuve</w:t>
      </w:r>
      <w:r w:rsidRPr="00683477">
        <w:rPr>
          <w:lang w:val="fr-FR"/>
        </w:rPr>
        <w:t xml:space="preserve"> : Conformément à l'article </w:t>
      </w:r>
      <w:r w:rsidRPr="00683477">
        <w:rPr>
          <w:b/>
          <w:bCs/>
          <w:lang w:val="fr-FR"/>
        </w:rPr>
        <w:t>9 du Code de procédure civile</w:t>
      </w:r>
      <w:r w:rsidRPr="00683477">
        <w:rPr>
          <w:lang w:val="fr-FR"/>
        </w:rPr>
        <w:t>, une preuve doit être obtenue légalement. Toute preuve obtenue en violation de la loi, par exemple par une atteinte à la vie privée, peut être écartée par le juge (arrêt de la Cour de cassation, chambre sociale, 31 janvier 2001).</w:t>
      </w:r>
    </w:p>
    <w:p w14:paraId="7E808245" w14:textId="77777777" w:rsidR="00683477" w:rsidRDefault="00683477" w:rsidP="00683477">
      <w:pPr>
        <w:rPr>
          <w:b/>
          <w:bCs/>
          <w:lang w:val="fr-FR"/>
        </w:rPr>
      </w:pPr>
    </w:p>
    <w:p w14:paraId="40AB3344" w14:textId="01FA83D2" w:rsidR="00683477" w:rsidRDefault="00683477" w:rsidP="003116DE">
      <w:pPr>
        <w:pStyle w:val="Titre2"/>
        <w:rPr>
          <w:lang w:val="fr-FR"/>
        </w:rPr>
      </w:pPr>
      <w:bookmarkStart w:id="5" w:name="_Toc177715576"/>
      <w:r w:rsidRPr="00683477">
        <w:rPr>
          <w:lang w:val="fr-FR"/>
        </w:rPr>
        <w:t>Technologies renforçant la preuve électronique</w:t>
      </w:r>
      <w:bookmarkEnd w:id="5"/>
    </w:p>
    <w:p w14:paraId="4419E0BC" w14:textId="77777777" w:rsidR="003116DE" w:rsidRPr="00683477" w:rsidRDefault="003116DE" w:rsidP="00683477">
      <w:pPr>
        <w:rPr>
          <w:b/>
          <w:bCs/>
          <w:lang w:val="fr-FR"/>
        </w:rPr>
      </w:pPr>
    </w:p>
    <w:p w14:paraId="02DA91EC" w14:textId="77777777" w:rsidR="00683477" w:rsidRPr="00683477" w:rsidRDefault="00683477" w:rsidP="00683477">
      <w:pPr>
        <w:numPr>
          <w:ilvl w:val="0"/>
          <w:numId w:val="21"/>
        </w:numPr>
        <w:rPr>
          <w:lang w:val="fr-FR"/>
        </w:rPr>
      </w:pPr>
      <w:r w:rsidRPr="00683477">
        <w:rPr>
          <w:b/>
          <w:bCs/>
          <w:lang w:val="fr-FR"/>
        </w:rPr>
        <w:t>Signature électronique qualifiée</w:t>
      </w:r>
      <w:r w:rsidRPr="00683477">
        <w:rPr>
          <w:lang w:val="fr-FR"/>
        </w:rPr>
        <w:t xml:space="preserve"> : Cette technologie, définie à l'article 3(12) du Règlement </w:t>
      </w:r>
      <w:proofErr w:type="spellStart"/>
      <w:r w:rsidRPr="00683477">
        <w:rPr>
          <w:lang w:val="fr-FR"/>
        </w:rPr>
        <w:t>eIDAS</w:t>
      </w:r>
      <w:proofErr w:type="spellEnd"/>
      <w:r w:rsidRPr="00683477">
        <w:rPr>
          <w:lang w:val="fr-FR"/>
        </w:rPr>
        <w:t>, garantit que l'identité de la personne signataire est assurée et que le document n’a pas été altéré depuis sa signature. L'article 25(2) du même règlement précise qu'elle bénéficie d'une présomption de fiabilité devant les juridictions de l'UE.</w:t>
      </w:r>
    </w:p>
    <w:p w14:paraId="161CB286" w14:textId="77777777" w:rsidR="00683477" w:rsidRPr="00683477" w:rsidRDefault="00683477" w:rsidP="00683477">
      <w:pPr>
        <w:numPr>
          <w:ilvl w:val="0"/>
          <w:numId w:val="21"/>
        </w:numPr>
        <w:rPr>
          <w:lang w:val="fr-FR"/>
        </w:rPr>
      </w:pPr>
      <w:r w:rsidRPr="00683477">
        <w:rPr>
          <w:b/>
          <w:bCs/>
          <w:lang w:val="fr-FR"/>
        </w:rPr>
        <w:t>Horodatage électronique</w:t>
      </w:r>
      <w:r w:rsidRPr="00683477">
        <w:rPr>
          <w:lang w:val="fr-FR"/>
        </w:rPr>
        <w:t xml:space="preserve"> : Mentionné à l'article 41 du Règlement </w:t>
      </w:r>
      <w:proofErr w:type="spellStart"/>
      <w:r w:rsidRPr="00683477">
        <w:rPr>
          <w:lang w:val="fr-FR"/>
        </w:rPr>
        <w:t>eIDAS</w:t>
      </w:r>
      <w:proofErr w:type="spellEnd"/>
      <w:r w:rsidRPr="00683477">
        <w:rPr>
          <w:lang w:val="fr-FR"/>
        </w:rPr>
        <w:t>, il permet d'apporter une preuve irréfutable de la date et de l’heure d’un événement numérique, ce qui peut être essentiel pour établir la chronologie des faits dans un litige.</w:t>
      </w:r>
    </w:p>
    <w:p w14:paraId="65F98377" w14:textId="77777777" w:rsidR="00683477" w:rsidRPr="00683477" w:rsidRDefault="00683477" w:rsidP="00683477">
      <w:pPr>
        <w:numPr>
          <w:ilvl w:val="0"/>
          <w:numId w:val="21"/>
        </w:numPr>
        <w:rPr>
          <w:lang w:val="fr-FR"/>
        </w:rPr>
      </w:pPr>
      <w:r w:rsidRPr="00683477">
        <w:rPr>
          <w:b/>
          <w:bCs/>
          <w:lang w:val="fr-FR"/>
        </w:rPr>
        <w:t>Blockchain</w:t>
      </w:r>
      <w:r w:rsidRPr="00683477">
        <w:rPr>
          <w:lang w:val="fr-FR"/>
        </w:rPr>
        <w:t xml:space="preserve"> : Bien que cette technologie ne soit pas explicitement régulée par le Code civil, elle est de plus en plus reconnue par les juridictions comme un moyen de garantir l’intégrité et l’authenticité des transactions, grâce à sa nature décentralisée et immuable.</w:t>
      </w:r>
    </w:p>
    <w:p w14:paraId="30355355" w14:textId="5C0F485E" w:rsidR="00683477" w:rsidRDefault="00683477" w:rsidP="00683477">
      <w:pPr>
        <w:rPr>
          <w:lang w:val="fr-FR"/>
        </w:rPr>
      </w:pPr>
    </w:p>
    <w:p w14:paraId="6B0F4C26" w14:textId="707345AA" w:rsidR="003116DE" w:rsidRDefault="003116DE" w:rsidP="003116DE">
      <w:pPr>
        <w:jc w:val="center"/>
        <w:rPr>
          <w:lang w:val="fr-FR"/>
        </w:rPr>
      </w:pPr>
      <w:r>
        <w:rPr>
          <w:noProof/>
          <w:lang w:val="fr-FR"/>
        </w:rPr>
        <w:lastRenderedPageBreak/>
        <w:drawing>
          <wp:inline distT="0" distB="0" distL="0" distR="0" wp14:anchorId="114486B1" wp14:editId="43BB67FB">
            <wp:extent cx="4572000" cy="3429000"/>
            <wp:effectExtent l="0" t="0" r="0" b="0"/>
            <wp:docPr id="1927251025" name="Vidéo 1" descr="Qu’est-ce que la blockchain ? | Banque de Fran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51025" name="Vidéo 1" descr="Qu’est-ce que la blockchain ? | Banque de France">
                      <a:hlinkClick r:id="rId8"/>
                    </pic:cNvPr>
                    <pic:cNvPicPr/>
                  </pic:nvPicPr>
                  <pic:blipFill>
                    <a:blip r:embed="rId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QE-eNeJd8OY?feature=oembed&quot; frameborder=&quot;0&quot; allow=&quot;accelerometer; autoplay; clipboard-write; encrypted-media; gyroscope; picture-in-picture; web-share&quot; referrerpolicy=&quot;strict-origin-when-cross-origin&quot; allowfullscreen=&quot;&quot; title=&quot;Qu’est-ce que la blockchain ? | Banque de France&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3BA5B632" w14:textId="77777777" w:rsidR="003116DE" w:rsidRPr="00683477" w:rsidRDefault="003116DE" w:rsidP="00683477">
      <w:pPr>
        <w:rPr>
          <w:lang w:val="fr-FR"/>
        </w:rPr>
      </w:pPr>
    </w:p>
    <w:p w14:paraId="08CABB53" w14:textId="05CCA705" w:rsidR="00683477" w:rsidRDefault="00683477" w:rsidP="003116DE">
      <w:pPr>
        <w:pStyle w:val="Titre2"/>
        <w:rPr>
          <w:lang w:val="fr-FR"/>
        </w:rPr>
      </w:pPr>
      <w:bookmarkStart w:id="6" w:name="_Toc177715577"/>
      <w:r w:rsidRPr="00683477">
        <w:rPr>
          <w:lang w:val="fr-FR"/>
        </w:rPr>
        <w:t>Réponses aux questions d'évaluation</w:t>
      </w:r>
      <w:bookmarkEnd w:id="6"/>
    </w:p>
    <w:p w14:paraId="2B5D5C8D" w14:textId="77777777" w:rsidR="003116DE" w:rsidRPr="00683477" w:rsidRDefault="003116DE" w:rsidP="00683477">
      <w:pPr>
        <w:rPr>
          <w:b/>
          <w:bCs/>
          <w:lang w:val="fr-FR"/>
        </w:rPr>
      </w:pPr>
    </w:p>
    <w:p w14:paraId="648111A7" w14:textId="77777777" w:rsidR="00683477" w:rsidRPr="00683477" w:rsidRDefault="00683477" w:rsidP="00683477">
      <w:pPr>
        <w:numPr>
          <w:ilvl w:val="0"/>
          <w:numId w:val="22"/>
        </w:numPr>
        <w:rPr>
          <w:lang w:val="fr-FR"/>
        </w:rPr>
      </w:pPr>
      <w:r w:rsidRPr="00683477">
        <w:rPr>
          <w:b/>
          <w:bCs/>
          <w:lang w:val="fr-FR"/>
        </w:rPr>
        <w:t>Quelles sont les conditions de recevabilité d’une preuve électronique ?</w:t>
      </w:r>
    </w:p>
    <w:p w14:paraId="468F1DD7" w14:textId="77777777" w:rsidR="00683477" w:rsidRPr="00683477" w:rsidRDefault="00683477" w:rsidP="00683477">
      <w:pPr>
        <w:numPr>
          <w:ilvl w:val="1"/>
          <w:numId w:val="22"/>
        </w:numPr>
        <w:rPr>
          <w:lang w:val="fr-FR"/>
        </w:rPr>
      </w:pPr>
      <w:r w:rsidRPr="00683477">
        <w:rPr>
          <w:b/>
          <w:bCs/>
          <w:lang w:val="fr-FR"/>
        </w:rPr>
        <w:t>Réponse</w:t>
      </w:r>
      <w:r w:rsidRPr="00683477">
        <w:rPr>
          <w:lang w:val="fr-FR"/>
        </w:rPr>
        <w:t xml:space="preserve"> : Selon l'article 1366 du Code civil, la preuve électronique doit être authentifiée et établie dans des conditions garantissant son intégrité. Elle doit aussi être obtenue légalement (art. 9 du CPC).</w:t>
      </w:r>
    </w:p>
    <w:p w14:paraId="7B78A9B4" w14:textId="77777777" w:rsidR="00683477" w:rsidRPr="00683477" w:rsidRDefault="00683477" w:rsidP="00683477">
      <w:pPr>
        <w:numPr>
          <w:ilvl w:val="0"/>
          <w:numId w:val="22"/>
        </w:numPr>
        <w:rPr>
          <w:lang w:val="fr-FR"/>
        </w:rPr>
      </w:pPr>
      <w:r w:rsidRPr="00683477">
        <w:rPr>
          <w:b/>
          <w:bCs/>
          <w:lang w:val="fr-FR"/>
        </w:rPr>
        <w:t>Vrai ou faux : Une capture d’écran est toujours admissible comme preuve.</w:t>
      </w:r>
    </w:p>
    <w:p w14:paraId="5F134E1B" w14:textId="77777777" w:rsidR="00683477" w:rsidRPr="00683477" w:rsidRDefault="00683477" w:rsidP="00683477">
      <w:pPr>
        <w:numPr>
          <w:ilvl w:val="1"/>
          <w:numId w:val="22"/>
        </w:numPr>
        <w:rPr>
          <w:lang w:val="fr-FR"/>
        </w:rPr>
      </w:pPr>
      <w:r w:rsidRPr="00683477">
        <w:rPr>
          <w:b/>
          <w:bCs/>
          <w:lang w:val="fr-FR"/>
        </w:rPr>
        <w:t>Réponse</w:t>
      </w:r>
      <w:r w:rsidRPr="00683477">
        <w:rPr>
          <w:lang w:val="fr-FR"/>
        </w:rPr>
        <w:t xml:space="preserve"> : Faux. Une capture d’écran, en tant que simple représentation visuelle, ne bénéficie pas d'une présomption de fiabilité et peut être contestée, notamment en l'absence d'authentification et d'horodatage.</w:t>
      </w:r>
    </w:p>
    <w:p w14:paraId="02A85B6C" w14:textId="77777777" w:rsidR="00683477" w:rsidRPr="00683477" w:rsidRDefault="00683477" w:rsidP="00683477">
      <w:pPr>
        <w:numPr>
          <w:ilvl w:val="0"/>
          <w:numId w:val="22"/>
        </w:numPr>
        <w:rPr>
          <w:lang w:val="fr-FR"/>
        </w:rPr>
      </w:pPr>
      <w:r w:rsidRPr="00683477">
        <w:rPr>
          <w:b/>
          <w:bCs/>
          <w:lang w:val="fr-FR"/>
        </w:rPr>
        <w:t>Citez trois exemples de preuves électroniques.</w:t>
      </w:r>
    </w:p>
    <w:p w14:paraId="0FC7EA25" w14:textId="77777777" w:rsidR="00683477" w:rsidRPr="00683477" w:rsidRDefault="00683477" w:rsidP="00683477">
      <w:pPr>
        <w:numPr>
          <w:ilvl w:val="1"/>
          <w:numId w:val="22"/>
        </w:numPr>
        <w:rPr>
          <w:lang w:val="fr-FR"/>
        </w:rPr>
      </w:pPr>
      <w:r w:rsidRPr="00683477">
        <w:rPr>
          <w:b/>
          <w:bCs/>
          <w:lang w:val="fr-FR"/>
        </w:rPr>
        <w:t>Réponse</w:t>
      </w:r>
      <w:r w:rsidRPr="00683477">
        <w:rPr>
          <w:lang w:val="fr-FR"/>
        </w:rPr>
        <w:t xml:space="preserve"> : Un email avec signature électronique qualifiée (Règlement </w:t>
      </w:r>
      <w:proofErr w:type="spellStart"/>
      <w:r w:rsidRPr="00683477">
        <w:rPr>
          <w:lang w:val="fr-FR"/>
        </w:rPr>
        <w:t>eIDAS</w:t>
      </w:r>
      <w:proofErr w:type="spellEnd"/>
      <w:r w:rsidRPr="00683477">
        <w:rPr>
          <w:lang w:val="fr-FR"/>
        </w:rPr>
        <w:t>, art. 25), une transaction horodatée sur une blockchain, un fichier numérique signé et horodaté électroniquement (art. 1366 du Code civil).</w:t>
      </w:r>
    </w:p>
    <w:p w14:paraId="036E51DB" w14:textId="77777777" w:rsidR="00683477" w:rsidRPr="00683477" w:rsidRDefault="00683477" w:rsidP="00683477">
      <w:pPr>
        <w:numPr>
          <w:ilvl w:val="0"/>
          <w:numId w:val="22"/>
        </w:numPr>
        <w:rPr>
          <w:lang w:val="fr-FR"/>
        </w:rPr>
      </w:pPr>
      <w:r w:rsidRPr="00683477">
        <w:rPr>
          <w:b/>
          <w:bCs/>
          <w:lang w:val="fr-FR"/>
        </w:rPr>
        <w:t>Un email non signé électroniquement est-il valable devant un tribunal ?</w:t>
      </w:r>
    </w:p>
    <w:p w14:paraId="3A4702D2" w14:textId="77777777" w:rsidR="00683477" w:rsidRPr="00683477" w:rsidRDefault="00683477" w:rsidP="00683477">
      <w:pPr>
        <w:numPr>
          <w:ilvl w:val="1"/>
          <w:numId w:val="22"/>
        </w:numPr>
        <w:rPr>
          <w:lang w:val="fr-FR"/>
        </w:rPr>
      </w:pPr>
      <w:r w:rsidRPr="00683477">
        <w:rPr>
          <w:b/>
          <w:bCs/>
          <w:lang w:val="fr-FR"/>
        </w:rPr>
        <w:t>Réponse</w:t>
      </w:r>
      <w:r w:rsidRPr="00683477">
        <w:rPr>
          <w:lang w:val="fr-FR"/>
        </w:rPr>
        <w:t xml:space="preserve"> : Oui, mais il n’a pas de valeur probatoire automatique. Sa force probante sera laissée à l’appréciation du juge selon l'article 427 du Code de procédure pénale, qui lui permet de se baser sur tout élément de preuve, sous réserve de son authenticité.</w:t>
      </w:r>
    </w:p>
    <w:p w14:paraId="5143F7F9" w14:textId="77777777" w:rsidR="00683477" w:rsidRPr="00683477" w:rsidRDefault="00683477" w:rsidP="00683477">
      <w:pPr>
        <w:numPr>
          <w:ilvl w:val="0"/>
          <w:numId w:val="22"/>
        </w:numPr>
        <w:rPr>
          <w:lang w:val="fr-FR"/>
        </w:rPr>
      </w:pPr>
      <w:r w:rsidRPr="00683477">
        <w:rPr>
          <w:b/>
          <w:bCs/>
          <w:lang w:val="fr-FR"/>
        </w:rPr>
        <w:t>Quelles technologies permettent de sécuriser la preuve électronique ?</w:t>
      </w:r>
    </w:p>
    <w:p w14:paraId="378CE273" w14:textId="77777777" w:rsidR="00683477" w:rsidRPr="00683477" w:rsidRDefault="00683477" w:rsidP="00683477">
      <w:pPr>
        <w:numPr>
          <w:ilvl w:val="1"/>
          <w:numId w:val="22"/>
        </w:numPr>
        <w:rPr>
          <w:lang w:val="fr-FR"/>
        </w:rPr>
      </w:pPr>
      <w:r w:rsidRPr="00683477">
        <w:rPr>
          <w:b/>
          <w:bCs/>
          <w:lang w:val="fr-FR"/>
        </w:rPr>
        <w:t>Réponse</w:t>
      </w:r>
      <w:r w:rsidRPr="00683477">
        <w:rPr>
          <w:lang w:val="fr-FR"/>
        </w:rPr>
        <w:t xml:space="preserve"> : La signature électronique qualifiée (Règlement </w:t>
      </w:r>
      <w:proofErr w:type="spellStart"/>
      <w:r w:rsidRPr="00683477">
        <w:rPr>
          <w:lang w:val="fr-FR"/>
        </w:rPr>
        <w:t>eIDAS</w:t>
      </w:r>
      <w:proofErr w:type="spellEnd"/>
      <w:r w:rsidRPr="00683477">
        <w:rPr>
          <w:lang w:val="fr-FR"/>
        </w:rPr>
        <w:t xml:space="preserve">, art. 25), l’horodatage électronique (Règlement </w:t>
      </w:r>
      <w:proofErr w:type="spellStart"/>
      <w:r w:rsidRPr="00683477">
        <w:rPr>
          <w:lang w:val="fr-FR"/>
        </w:rPr>
        <w:t>eIDAS</w:t>
      </w:r>
      <w:proofErr w:type="spellEnd"/>
      <w:r w:rsidRPr="00683477">
        <w:rPr>
          <w:lang w:val="fr-FR"/>
        </w:rPr>
        <w:t>, art. 41), et la blockchain.</w:t>
      </w:r>
    </w:p>
    <w:p w14:paraId="00F6F003" w14:textId="77777777" w:rsidR="00683477" w:rsidRDefault="00683477" w:rsidP="00683477"/>
    <w:p w14:paraId="01E9D66F" w14:textId="4DC825DC" w:rsidR="003116DE" w:rsidRPr="003116DE" w:rsidRDefault="003116DE" w:rsidP="003116DE">
      <w:pPr>
        <w:pStyle w:val="Titre1"/>
        <w:rPr>
          <w:lang w:val="fr-FR"/>
        </w:rPr>
      </w:pPr>
      <w:bookmarkStart w:id="7" w:name="_Toc177715578"/>
      <w:r w:rsidRPr="003116DE">
        <w:rPr>
          <w:lang w:val="fr-FR"/>
        </w:rPr>
        <w:t xml:space="preserve">Le contrat de vente électronique : </w:t>
      </w:r>
      <w:r>
        <w:rPr>
          <w:lang w:val="fr-FR"/>
        </w:rPr>
        <w:t>c</w:t>
      </w:r>
      <w:r w:rsidRPr="003116DE">
        <w:rPr>
          <w:lang w:val="fr-FR"/>
        </w:rPr>
        <w:t>adre légal et protections</w:t>
      </w:r>
      <w:bookmarkEnd w:id="7"/>
    </w:p>
    <w:p w14:paraId="2C88CDEF" w14:textId="77777777" w:rsidR="003116DE" w:rsidRDefault="003116DE" w:rsidP="003116DE">
      <w:pPr>
        <w:rPr>
          <w:lang w:val="fr-FR"/>
        </w:rPr>
      </w:pPr>
    </w:p>
    <w:p w14:paraId="02D41AB3" w14:textId="3D16BE21" w:rsidR="003116DE" w:rsidRPr="003116DE" w:rsidRDefault="003116DE" w:rsidP="003116DE">
      <w:pPr>
        <w:rPr>
          <w:lang w:val="fr-FR"/>
        </w:rPr>
      </w:pPr>
      <w:r w:rsidRPr="003116DE">
        <w:rPr>
          <w:lang w:val="fr-FR"/>
        </w:rPr>
        <w:t xml:space="preserve">Le contrat de vente électronique est un accord conclu à distance via des moyens électroniques, encadré principalement par le </w:t>
      </w:r>
      <w:r w:rsidRPr="003116DE">
        <w:rPr>
          <w:b/>
          <w:bCs/>
          <w:lang w:val="fr-FR"/>
        </w:rPr>
        <w:t>Code de la consommation</w:t>
      </w:r>
      <w:r w:rsidRPr="003116DE">
        <w:rPr>
          <w:lang w:val="fr-FR"/>
        </w:rPr>
        <w:t xml:space="preserve"> et le </w:t>
      </w:r>
      <w:r w:rsidRPr="003116DE">
        <w:rPr>
          <w:b/>
          <w:bCs/>
          <w:lang w:val="fr-FR"/>
        </w:rPr>
        <w:t>Code civil</w:t>
      </w:r>
      <w:r w:rsidRPr="003116DE">
        <w:rPr>
          <w:lang w:val="fr-FR"/>
        </w:rPr>
        <w:t>. Les obligations des parties, en particulier celles du vendeur, sont renforcées pour protéger les consommateurs face aux spécificités du commerce en ligne.</w:t>
      </w:r>
    </w:p>
    <w:p w14:paraId="1B094E04" w14:textId="77777777" w:rsidR="003116DE" w:rsidRDefault="003116DE" w:rsidP="003116DE">
      <w:pPr>
        <w:rPr>
          <w:b/>
          <w:bCs/>
          <w:lang w:val="fr-FR"/>
        </w:rPr>
      </w:pPr>
    </w:p>
    <w:p w14:paraId="1E10E540" w14:textId="00EC7577" w:rsidR="003116DE" w:rsidRPr="003116DE" w:rsidRDefault="003116DE" w:rsidP="003116DE">
      <w:pPr>
        <w:pStyle w:val="Titre2"/>
        <w:numPr>
          <w:ilvl w:val="0"/>
          <w:numId w:val="26"/>
        </w:numPr>
        <w:rPr>
          <w:lang w:val="fr-FR"/>
        </w:rPr>
      </w:pPr>
      <w:bookmarkStart w:id="8" w:name="_Toc177715579"/>
      <w:r w:rsidRPr="003116DE">
        <w:rPr>
          <w:lang w:val="fr-FR"/>
        </w:rPr>
        <w:t>Références juridiques pertinentes</w:t>
      </w:r>
      <w:bookmarkEnd w:id="8"/>
    </w:p>
    <w:p w14:paraId="093796C6" w14:textId="77777777" w:rsidR="003116DE" w:rsidRPr="003116DE" w:rsidRDefault="003116DE" w:rsidP="003116DE">
      <w:pPr>
        <w:numPr>
          <w:ilvl w:val="0"/>
          <w:numId w:val="23"/>
        </w:numPr>
        <w:rPr>
          <w:lang w:val="fr-FR"/>
        </w:rPr>
      </w:pPr>
      <w:r w:rsidRPr="003116DE">
        <w:rPr>
          <w:b/>
          <w:bCs/>
          <w:lang w:val="fr-FR"/>
        </w:rPr>
        <w:lastRenderedPageBreak/>
        <w:t>Article L221-5 du Code de la consommation</w:t>
      </w:r>
      <w:r w:rsidRPr="003116DE">
        <w:rPr>
          <w:lang w:val="fr-FR"/>
        </w:rPr>
        <w:t xml:space="preserve"> : Le vendeur doit fournir des informations précontractuelles claires et précises, notamment sur l'identité du vendeur, les caractéristiques essentielles du produit, le prix, et le droit de rétractation.</w:t>
      </w:r>
    </w:p>
    <w:p w14:paraId="349FE38D" w14:textId="77777777" w:rsidR="003116DE" w:rsidRPr="003116DE" w:rsidRDefault="003116DE" w:rsidP="003116DE">
      <w:pPr>
        <w:numPr>
          <w:ilvl w:val="0"/>
          <w:numId w:val="23"/>
        </w:numPr>
        <w:rPr>
          <w:lang w:val="fr-FR"/>
        </w:rPr>
      </w:pPr>
      <w:r w:rsidRPr="003116DE">
        <w:rPr>
          <w:b/>
          <w:bCs/>
          <w:lang w:val="fr-FR"/>
        </w:rPr>
        <w:t>Article L221-18 du Code de la consommation</w:t>
      </w:r>
      <w:r w:rsidRPr="003116DE">
        <w:rPr>
          <w:lang w:val="fr-FR"/>
        </w:rPr>
        <w:t xml:space="preserve"> : Le consommateur dispose d'un droit de rétractation de </w:t>
      </w:r>
      <w:r w:rsidRPr="003116DE">
        <w:rPr>
          <w:b/>
          <w:bCs/>
          <w:lang w:val="fr-FR"/>
        </w:rPr>
        <w:t>14 jours</w:t>
      </w:r>
      <w:r w:rsidRPr="003116DE">
        <w:rPr>
          <w:lang w:val="fr-FR"/>
        </w:rPr>
        <w:t xml:space="preserve"> à compter de la réception du bien ou de l'acceptation de l'offre de prestation de service, sauf exceptions prévues à l’article L221-28.</w:t>
      </w:r>
    </w:p>
    <w:p w14:paraId="74E965D8" w14:textId="77777777" w:rsidR="003116DE" w:rsidRPr="003116DE" w:rsidRDefault="003116DE" w:rsidP="003116DE">
      <w:pPr>
        <w:numPr>
          <w:ilvl w:val="0"/>
          <w:numId w:val="23"/>
        </w:numPr>
        <w:rPr>
          <w:lang w:val="fr-FR"/>
        </w:rPr>
      </w:pPr>
      <w:r w:rsidRPr="003116DE">
        <w:rPr>
          <w:b/>
          <w:bCs/>
          <w:lang w:val="fr-FR"/>
        </w:rPr>
        <w:t>Article L241-1 du Code de la consommation</w:t>
      </w:r>
      <w:r w:rsidRPr="003116DE">
        <w:rPr>
          <w:lang w:val="fr-FR"/>
        </w:rPr>
        <w:t xml:space="preserve"> : Les clauses limitant les droits du consommateur ou créant un déséquilibre significatif entre les parties sont qualifiées de </w:t>
      </w:r>
      <w:r w:rsidRPr="003116DE">
        <w:rPr>
          <w:b/>
          <w:bCs/>
          <w:lang w:val="fr-FR"/>
        </w:rPr>
        <w:t>clauses abusives</w:t>
      </w:r>
      <w:r w:rsidRPr="003116DE">
        <w:rPr>
          <w:lang w:val="fr-FR"/>
        </w:rPr>
        <w:t>.</w:t>
      </w:r>
    </w:p>
    <w:p w14:paraId="10A8F6AD" w14:textId="77777777" w:rsidR="003116DE" w:rsidRDefault="003116DE" w:rsidP="003116DE">
      <w:pPr>
        <w:rPr>
          <w:b/>
          <w:bCs/>
          <w:lang w:val="fr-FR"/>
        </w:rPr>
      </w:pPr>
    </w:p>
    <w:p w14:paraId="38F51691" w14:textId="121F9132" w:rsidR="003116DE" w:rsidRDefault="003116DE" w:rsidP="003116DE">
      <w:pPr>
        <w:pStyle w:val="Titre2"/>
        <w:rPr>
          <w:lang w:val="fr-FR"/>
        </w:rPr>
      </w:pPr>
      <w:bookmarkStart w:id="9" w:name="_Toc177715580"/>
      <w:r w:rsidRPr="003116DE">
        <w:rPr>
          <w:lang w:val="fr-FR"/>
        </w:rPr>
        <w:t>Informations obligatoires dans un contrat de vente électronique</w:t>
      </w:r>
      <w:bookmarkEnd w:id="9"/>
    </w:p>
    <w:p w14:paraId="29ADDEB5" w14:textId="77777777" w:rsidR="003116DE" w:rsidRPr="003116DE" w:rsidRDefault="003116DE" w:rsidP="003116DE">
      <w:pPr>
        <w:rPr>
          <w:b/>
          <w:bCs/>
          <w:lang w:val="fr-FR"/>
        </w:rPr>
      </w:pPr>
    </w:p>
    <w:p w14:paraId="2D6F7F56" w14:textId="77777777" w:rsidR="003116DE" w:rsidRPr="003116DE" w:rsidRDefault="003116DE" w:rsidP="003116DE">
      <w:pPr>
        <w:numPr>
          <w:ilvl w:val="0"/>
          <w:numId w:val="24"/>
        </w:numPr>
        <w:rPr>
          <w:lang w:val="fr-FR"/>
        </w:rPr>
      </w:pPr>
      <w:r w:rsidRPr="003116DE">
        <w:rPr>
          <w:b/>
          <w:bCs/>
          <w:lang w:val="fr-FR"/>
        </w:rPr>
        <w:t>Identité du vendeur</w:t>
      </w:r>
      <w:r w:rsidRPr="003116DE">
        <w:rPr>
          <w:lang w:val="fr-FR"/>
        </w:rPr>
        <w:t xml:space="preserve"> : Le consommateur doit être informé des coordonnées du vendeur, y compris son adresse électronique.</w:t>
      </w:r>
    </w:p>
    <w:p w14:paraId="2974C4BC" w14:textId="77777777" w:rsidR="003116DE" w:rsidRPr="003116DE" w:rsidRDefault="003116DE" w:rsidP="003116DE">
      <w:pPr>
        <w:numPr>
          <w:ilvl w:val="0"/>
          <w:numId w:val="24"/>
        </w:numPr>
        <w:rPr>
          <w:lang w:val="fr-FR"/>
        </w:rPr>
      </w:pPr>
      <w:r w:rsidRPr="003116DE">
        <w:rPr>
          <w:b/>
          <w:bCs/>
          <w:lang w:val="fr-FR"/>
        </w:rPr>
        <w:t>Caractéristiques du bien ou du service</w:t>
      </w:r>
      <w:r w:rsidRPr="003116DE">
        <w:rPr>
          <w:lang w:val="fr-FR"/>
        </w:rPr>
        <w:t xml:space="preserve"> : Le vendeur doit indiquer clairement les caractéristiques essentielles du produit ou service (art. L221-5).</w:t>
      </w:r>
    </w:p>
    <w:p w14:paraId="7FAC2680" w14:textId="77777777" w:rsidR="003116DE" w:rsidRPr="003116DE" w:rsidRDefault="003116DE" w:rsidP="003116DE">
      <w:pPr>
        <w:numPr>
          <w:ilvl w:val="0"/>
          <w:numId w:val="24"/>
        </w:numPr>
        <w:rPr>
          <w:lang w:val="fr-FR"/>
        </w:rPr>
      </w:pPr>
      <w:r w:rsidRPr="003116DE">
        <w:rPr>
          <w:b/>
          <w:bCs/>
          <w:lang w:val="fr-FR"/>
        </w:rPr>
        <w:t>Prix et frais supplémentaires</w:t>
      </w:r>
      <w:r w:rsidRPr="003116DE">
        <w:rPr>
          <w:lang w:val="fr-FR"/>
        </w:rPr>
        <w:t xml:space="preserve"> : Le prix total, y compris les taxes et frais de livraison, doit être précisé avant la validation de la commande.</w:t>
      </w:r>
    </w:p>
    <w:p w14:paraId="0A4E0446" w14:textId="77777777" w:rsidR="003116DE" w:rsidRPr="003116DE" w:rsidRDefault="003116DE" w:rsidP="003116DE">
      <w:pPr>
        <w:numPr>
          <w:ilvl w:val="0"/>
          <w:numId w:val="24"/>
        </w:numPr>
        <w:rPr>
          <w:lang w:val="fr-FR"/>
        </w:rPr>
      </w:pPr>
      <w:r w:rsidRPr="003116DE">
        <w:rPr>
          <w:b/>
          <w:bCs/>
          <w:lang w:val="fr-FR"/>
        </w:rPr>
        <w:t>Droit de rétractation</w:t>
      </w:r>
      <w:r w:rsidRPr="003116DE">
        <w:rPr>
          <w:lang w:val="fr-FR"/>
        </w:rPr>
        <w:t xml:space="preserve"> : Le vendeur doit informer le consommateur de son droit de rétractation, ainsi que des modalités pour l'exercer (art. L221-5 et L221-18).</w:t>
      </w:r>
    </w:p>
    <w:p w14:paraId="6E06AA00" w14:textId="77777777" w:rsidR="003116DE" w:rsidRPr="003116DE" w:rsidRDefault="003116DE" w:rsidP="003116DE">
      <w:pPr>
        <w:numPr>
          <w:ilvl w:val="0"/>
          <w:numId w:val="24"/>
        </w:numPr>
        <w:rPr>
          <w:lang w:val="fr-FR"/>
        </w:rPr>
      </w:pPr>
      <w:r w:rsidRPr="003116DE">
        <w:rPr>
          <w:b/>
          <w:bCs/>
          <w:lang w:val="fr-FR"/>
        </w:rPr>
        <w:t>Garantie légale de conformité</w:t>
      </w:r>
      <w:r w:rsidRPr="003116DE">
        <w:rPr>
          <w:lang w:val="fr-FR"/>
        </w:rPr>
        <w:t xml:space="preserve"> : Le consommateur bénéficie de la garantie légale de conformité prévue par les articles L217-4 et suivants du Code de la consommation, laquelle oblige le vendeur à livrer un bien conforme au contrat.</w:t>
      </w:r>
    </w:p>
    <w:p w14:paraId="7B24D9AD" w14:textId="77777777" w:rsidR="003116DE" w:rsidRDefault="003116DE" w:rsidP="003116DE">
      <w:pPr>
        <w:rPr>
          <w:b/>
          <w:bCs/>
          <w:lang w:val="fr-FR"/>
        </w:rPr>
      </w:pPr>
    </w:p>
    <w:p w14:paraId="10B4A12A" w14:textId="4769A475" w:rsidR="003116DE" w:rsidRPr="003116DE" w:rsidRDefault="003116DE" w:rsidP="003116DE">
      <w:pPr>
        <w:pStyle w:val="Titre2"/>
        <w:rPr>
          <w:lang w:val="fr-FR"/>
        </w:rPr>
      </w:pPr>
      <w:bookmarkStart w:id="10" w:name="_Toc177715581"/>
      <w:r w:rsidRPr="003116DE">
        <w:rPr>
          <w:lang w:val="fr-FR"/>
        </w:rPr>
        <w:t>Clauses abusives dans un contrat de vente électronique</w:t>
      </w:r>
      <w:bookmarkEnd w:id="10"/>
    </w:p>
    <w:p w14:paraId="09C966F4" w14:textId="77777777" w:rsidR="003116DE" w:rsidRDefault="003116DE" w:rsidP="003116DE">
      <w:pPr>
        <w:rPr>
          <w:lang w:val="fr-FR"/>
        </w:rPr>
      </w:pPr>
    </w:p>
    <w:p w14:paraId="7C976FBE" w14:textId="4FBFBD2E" w:rsidR="003116DE" w:rsidRPr="003116DE" w:rsidRDefault="003116DE" w:rsidP="003116DE">
      <w:pPr>
        <w:rPr>
          <w:lang w:val="fr-FR"/>
        </w:rPr>
      </w:pPr>
      <w:r w:rsidRPr="003116DE">
        <w:rPr>
          <w:lang w:val="fr-FR"/>
        </w:rPr>
        <w:t xml:space="preserve">Une clause est dite </w:t>
      </w:r>
      <w:r w:rsidRPr="003116DE">
        <w:rPr>
          <w:b/>
          <w:bCs/>
          <w:lang w:val="fr-FR"/>
        </w:rPr>
        <w:t>abusive</w:t>
      </w:r>
      <w:r w:rsidRPr="003116DE">
        <w:rPr>
          <w:lang w:val="fr-FR"/>
        </w:rPr>
        <w:t xml:space="preserve"> lorsqu'elle crée un déséquilibre significatif entre les droits et obligations des parties au détriment du consommateur, conformément aux articles </w:t>
      </w:r>
      <w:r w:rsidRPr="003116DE">
        <w:rPr>
          <w:b/>
          <w:bCs/>
          <w:lang w:val="fr-FR"/>
        </w:rPr>
        <w:t>L212-1</w:t>
      </w:r>
      <w:r w:rsidRPr="003116DE">
        <w:rPr>
          <w:lang w:val="fr-FR"/>
        </w:rPr>
        <w:t xml:space="preserve"> et suivants du Code de la consommation. Par exemple, une clause excluant la responsabilité du vendeur en cas de produit défectueux serait considérée comme abusive.</w:t>
      </w:r>
    </w:p>
    <w:p w14:paraId="58A6C1A9" w14:textId="04ED0146" w:rsidR="003116DE" w:rsidRPr="003116DE" w:rsidRDefault="003116DE" w:rsidP="003116DE">
      <w:pPr>
        <w:rPr>
          <w:lang w:val="fr-FR"/>
        </w:rPr>
      </w:pPr>
    </w:p>
    <w:p w14:paraId="10605121" w14:textId="3718A1B5" w:rsidR="003116DE" w:rsidRDefault="003116DE" w:rsidP="003116DE">
      <w:pPr>
        <w:pStyle w:val="Titre2"/>
        <w:rPr>
          <w:lang w:val="fr-FR"/>
        </w:rPr>
      </w:pPr>
      <w:bookmarkStart w:id="11" w:name="_Toc177715582"/>
      <w:r w:rsidRPr="003116DE">
        <w:rPr>
          <w:lang w:val="fr-FR"/>
        </w:rPr>
        <w:t>Réponses aux questions d’évaluation</w:t>
      </w:r>
      <w:bookmarkEnd w:id="11"/>
    </w:p>
    <w:p w14:paraId="7B77A479" w14:textId="77777777" w:rsidR="003116DE" w:rsidRPr="003116DE" w:rsidRDefault="003116DE" w:rsidP="003116DE">
      <w:pPr>
        <w:rPr>
          <w:b/>
          <w:bCs/>
          <w:lang w:val="fr-FR"/>
        </w:rPr>
      </w:pPr>
    </w:p>
    <w:p w14:paraId="5A152592" w14:textId="77777777" w:rsidR="003116DE" w:rsidRPr="003116DE" w:rsidRDefault="003116DE" w:rsidP="003116DE">
      <w:pPr>
        <w:numPr>
          <w:ilvl w:val="0"/>
          <w:numId w:val="25"/>
        </w:numPr>
        <w:rPr>
          <w:lang w:val="fr-FR"/>
        </w:rPr>
      </w:pPr>
      <w:r w:rsidRPr="003116DE">
        <w:rPr>
          <w:b/>
          <w:bCs/>
          <w:lang w:val="fr-FR"/>
        </w:rPr>
        <w:t>Qu’est-ce qu’une clause abusive dans un contrat de vente électronique ?</w:t>
      </w:r>
    </w:p>
    <w:p w14:paraId="784F2FEC" w14:textId="77777777" w:rsidR="003116DE" w:rsidRPr="003116DE" w:rsidRDefault="003116DE" w:rsidP="003116DE">
      <w:pPr>
        <w:numPr>
          <w:ilvl w:val="1"/>
          <w:numId w:val="25"/>
        </w:numPr>
        <w:rPr>
          <w:lang w:val="fr-FR"/>
        </w:rPr>
      </w:pPr>
      <w:r w:rsidRPr="003116DE">
        <w:rPr>
          <w:b/>
          <w:bCs/>
          <w:lang w:val="fr-FR"/>
        </w:rPr>
        <w:t>Réponse</w:t>
      </w:r>
      <w:r w:rsidRPr="003116DE">
        <w:rPr>
          <w:lang w:val="fr-FR"/>
        </w:rPr>
        <w:t xml:space="preserve"> : Une clause qui crée un déséquilibre significatif entre les droits et obligations des parties, au détriment du consommateur (article L212-1 du Code de la consommation).</w:t>
      </w:r>
    </w:p>
    <w:p w14:paraId="10EE616E" w14:textId="77777777" w:rsidR="003116DE" w:rsidRPr="003116DE" w:rsidRDefault="003116DE" w:rsidP="003116DE">
      <w:pPr>
        <w:numPr>
          <w:ilvl w:val="0"/>
          <w:numId w:val="25"/>
        </w:numPr>
        <w:rPr>
          <w:lang w:val="fr-FR"/>
        </w:rPr>
      </w:pPr>
      <w:r w:rsidRPr="003116DE">
        <w:rPr>
          <w:b/>
          <w:bCs/>
          <w:lang w:val="fr-FR"/>
        </w:rPr>
        <w:t>Quelles sont les informations obligatoires dans un contrat de vente en ligne ?</w:t>
      </w:r>
    </w:p>
    <w:p w14:paraId="241C73A2" w14:textId="77777777" w:rsidR="003116DE" w:rsidRPr="003116DE" w:rsidRDefault="003116DE" w:rsidP="003116DE">
      <w:pPr>
        <w:numPr>
          <w:ilvl w:val="1"/>
          <w:numId w:val="25"/>
        </w:numPr>
        <w:rPr>
          <w:lang w:val="fr-FR"/>
        </w:rPr>
      </w:pPr>
      <w:r w:rsidRPr="003116DE">
        <w:rPr>
          <w:b/>
          <w:bCs/>
          <w:lang w:val="fr-FR"/>
        </w:rPr>
        <w:t>Réponse</w:t>
      </w:r>
      <w:r w:rsidRPr="003116DE">
        <w:rPr>
          <w:lang w:val="fr-FR"/>
        </w:rPr>
        <w:t xml:space="preserve"> : L'identité du vendeur, les caractéristiques du produit, le prix total, les frais supplémentaires, le droit de rétractation, et la garantie légale de conformité (article L221-5 du Code de la consommation).</w:t>
      </w:r>
    </w:p>
    <w:p w14:paraId="728CC9F1" w14:textId="77777777" w:rsidR="003116DE" w:rsidRPr="003116DE" w:rsidRDefault="003116DE" w:rsidP="003116DE">
      <w:pPr>
        <w:numPr>
          <w:ilvl w:val="0"/>
          <w:numId w:val="25"/>
        </w:numPr>
        <w:rPr>
          <w:lang w:val="fr-FR"/>
        </w:rPr>
      </w:pPr>
      <w:r w:rsidRPr="003116DE">
        <w:rPr>
          <w:b/>
          <w:bCs/>
          <w:lang w:val="fr-FR"/>
        </w:rPr>
        <w:t>Vrai ou faux : Le consommateur a toujours 14 jours pour se rétracter après un achat en ligne.</w:t>
      </w:r>
    </w:p>
    <w:p w14:paraId="1E2C1651" w14:textId="77777777" w:rsidR="003116DE" w:rsidRPr="003116DE" w:rsidRDefault="003116DE" w:rsidP="003116DE">
      <w:pPr>
        <w:numPr>
          <w:ilvl w:val="1"/>
          <w:numId w:val="25"/>
        </w:numPr>
        <w:rPr>
          <w:lang w:val="fr-FR"/>
        </w:rPr>
      </w:pPr>
      <w:r w:rsidRPr="003116DE">
        <w:rPr>
          <w:b/>
          <w:bCs/>
          <w:lang w:val="fr-FR"/>
        </w:rPr>
        <w:t>Réponse</w:t>
      </w:r>
      <w:r w:rsidRPr="003116DE">
        <w:rPr>
          <w:lang w:val="fr-FR"/>
        </w:rPr>
        <w:t xml:space="preserve"> : Vrai, sauf exceptions prévues par l’article L221-28 du Code de la consommation (ex. : biens personnalisés, biens périssables, enregistrements audio/vidéo descellés).</w:t>
      </w:r>
    </w:p>
    <w:p w14:paraId="1C60ED55" w14:textId="77777777" w:rsidR="003116DE" w:rsidRPr="003116DE" w:rsidRDefault="003116DE" w:rsidP="003116DE">
      <w:pPr>
        <w:numPr>
          <w:ilvl w:val="0"/>
          <w:numId w:val="25"/>
        </w:numPr>
        <w:rPr>
          <w:lang w:val="fr-FR"/>
        </w:rPr>
      </w:pPr>
      <w:r w:rsidRPr="003116DE">
        <w:rPr>
          <w:b/>
          <w:bCs/>
          <w:lang w:val="fr-FR"/>
        </w:rPr>
        <w:t>Décrivez le rôle du délai de rétractation dans les contrats de vente électroniques.</w:t>
      </w:r>
    </w:p>
    <w:p w14:paraId="4D7D896E" w14:textId="77777777" w:rsidR="003116DE" w:rsidRPr="003116DE" w:rsidRDefault="003116DE" w:rsidP="003116DE">
      <w:pPr>
        <w:numPr>
          <w:ilvl w:val="1"/>
          <w:numId w:val="25"/>
        </w:numPr>
        <w:rPr>
          <w:lang w:val="fr-FR"/>
        </w:rPr>
      </w:pPr>
      <w:r w:rsidRPr="003116DE">
        <w:rPr>
          <w:b/>
          <w:bCs/>
          <w:lang w:val="fr-FR"/>
        </w:rPr>
        <w:t>Réponse</w:t>
      </w:r>
      <w:r w:rsidRPr="003116DE">
        <w:rPr>
          <w:lang w:val="fr-FR"/>
        </w:rPr>
        <w:t xml:space="preserve"> : Le délai de rétractation de 14 jours permet au consommateur d’annuler son achat sans justification et sans frais (article L221-18 du Code de la consommation). Ce droit est essentiel pour compenser l'absence de possibilité de vérifier physiquement le bien avant l'achat.</w:t>
      </w:r>
    </w:p>
    <w:p w14:paraId="640E1999" w14:textId="77777777" w:rsidR="003116DE" w:rsidRPr="003116DE" w:rsidRDefault="003116DE" w:rsidP="003116DE">
      <w:pPr>
        <w:numPr>
          <w:ilvl w:val="0"/>
          <w:numId w:val="25"/>
        </w:numPr>
        <w:rPr>
          <w:lang w:val="fr-FR"/>
        </w:rPr>
      </w:pPr>
      <w:r w:rsidRPr="003116DE">
        <w:rPr>
          <w:b/>
          <w:bCs/>
          <w:lang w:val="fr-FR"/>
        </w:rPr>
        <w:t>Dans quel cas un vendeur peut-il refuser une réclamation pour produit défectueux ?</w:t>
      </w:r>
    </w:p>
    <w:p w14:paraId="0BF8FE38" w14:textId="77777777" w:rsidR="003116DE" w:rsidRPr="003116DE" w:rsidRDefault="003116DE" w:rsidP="003116DE">
      <w:pPr>
        <w:numPr>
          <w:ilvl w:val="1"/>
          <w:numId w:val="25"/>
        </w:numPr>
        <w:rPr>
          <w:lang w:val="fr-FR"/>
        </w:rPr>
      </w:pPr>
      <w:r w:rsidRPr="003116DE">
        <w:rPr>
          <w:b/>
          <w:bCs/>
          <w:lang w:val="fr-FR"/>
        </w:rPr>
        <w:t>Réponse</w:t>
      </w:r>
      <w:r w:rsidRPr="003116DE">
        <w:rPr>
          <w:lang w:val="fr-FR"/>
        </w:rPr>
        <w:t xml:space="preserve"> : Le vendeur peut refuser la réclamation si le défaut résulte d'une mauvaise utilisation par le consommateur ou si le produit a été acheté en connaissance d'un défaut, ce qui exclut l'application de la garantie légale de conformité (articles L217-5 et suivants du Code de la consommation).</w:t>
      </w:r>
    </w:p>
    <w:p w14:paraId="5DAEA12B" w14:textId="77777777" w:rsidR="003116DE" w:rsidRDefault="003116DE" w:rsidP="00683477"/>
    <w:p w14:paraId="632C0F1D" w14:textId="181BE189" w:rsidR="004A3569" w:rsidRPr="004A3569" w:rsidRDefault="004A3569" w:rsidP="004A3569">
      <w:pPr>
        <w:pStyle w:val="Titre1"/>
        <w:rPr>
          <w:lang w:val="fr-FR"/>
        </w:rPr>
      </w:pPr>
      <w:bookmarkStart w:id="12" w:name="_Toc177715583"/>
      <w:r w:rsidRPr="004A3569">
        <w:rPr>
          <w:lang w:val="fr-FR"/>
        </w:rPr>
        <w:t xml:space="preserve">Le contrat de prestations de service numérique : </w:t>
      </w:r>
      <w:r>
        <w:rPr>
          <w:lang w:val="fr-FR"/>
        </w:rPr>
        <w:t>e</w:t>
      </w:r>
      <w:r w:rsidRPr="004A3569">
        <w:rPr>
          <w:lang w:val="fr-FR"/>
        </w:rPr>
        <w:t>njeux et clauses critiques</w:t>
      </w:r>
      <w:bookmarkEnd w:id="12"/>
    </w:p>
    <w:p w14:paraId="2C4CB7A9" w14:textId="77777777" w:rsidR="004A3569" w:rsidRDefault="004A3569" w:rsidP="004A3569">
      <w:pPr>
        <w:rPr>
          <w:lang w:val="fr-FR"/>
        </w:rPr>
      </w:pPr>
      <w:r w:rsidRPr="004A3569">
        <w:rPr>
          <w:lang w:val="fr-FR"/>
        </w:rPr>
        <w:lastRenderedPageBreak/>
        <w:t xml:space="preserve">Les contrats de prestations de service numérique (SaaS, développement logiciel, maintenance, etc.) sont encadrés par le </w:t>
      </w:r>
      <w:r w:rsidRPr="004A3569">
        <w:rPr>
          <w:b/>
          <w:bCs/>
          <w:lang w:val="fr-FR"/>
        </w:rPr>
        <w:t>Code civil</w:t>
      </w:r>
      <w:r w:rsidRPr="004A3569">
        <w:rPr>
          <w:lang w:val="fr-FR"/>
        </w:rPr>
        <w:t xml:space="preserve"> et par certaines dispositions du </w:t>
      </w:r>
      <w:r w:rsidRPr="004A3569">
        <w:rPr>
          <w:b/>
          <w:bCs/>
          <w:lang w:val="fr-FR"/>
        </w:rPr>
        <w:t>Code de commerce</w:t>
      </w:r>
      <w:r w:rsidRPr="004A3569">
        <w:rPr>
          <w:lang w:val="fr-FR"/>
        </w:rPr>
        <w:t xml:space="preserve">, en particulier en ce qui concerne les relations entre professionnels. Ces contrats contiennent souvent des clauses spécifiques adaptées aux prestations numériques, telles que les </w:t>
      </w:r>
      <w:r w:rsidRPr="004A3569">
        <w:rPr>
          <w:b/>
          <w:bCs/>
          <w:lang w:val="fr-FR"/>
        </w:rPr>
        <w:t xml:space="preserve">SLA (Service </w:t>
      </w:r>
      <w:proofErr w:type="spellStart"/>
      <w:r w:rsidRPr="004A3569">
        <w:rPr>
          <w:b/>
          <w:bCs/>
          <w:lang w:val="fr-FR"/>
        </w:rPr>
        <w:t>Level</w:t>
      </w:r>
      <w:proofErr w:type="spellEnd"/>
      <w:r w:rsidRPr="004A3569">
        <w:rPr>
          <w:b/>
          <w:bCs/>
          <w:lang w:val="fr-FR"/>
        </w:rPr>
        <w:t xml:space="preserve"> </w:t>
      </w:r>
      <w:proofErr w:type="spellStart"/>
      <w:r w:rsidRPr="004A3569">
        <w:rPr>
          <w:b/>
          <w:bCs/>
          <w:lang w:val="fr-FR"/>
        </w:rPr>
        <w:t>Agreements</w:t>
      </w:r>
      <w:proofErr w:type="spellEnd"/>
      <w:r w:rsidRPr="004A3569">
        <w:rPr>
          <w:b/>
          <w:bCs/>
          <w:lang w:val="fr-FR"/>
        </w:rPr>
        <w:t>)</w:t>
      </w:r>
      <w:r w:rsidRPr="004A3569">
        <w:rPr>
          <w:lang w:val="fr-FR"/>
        </w:rPr>
        <w:t>, les clauses de résiliation, et les clauses de pénalité.</w:t>
      </w:r>
    </w:p>
    <w:p w14:paraId="6720A51B" w14:textId="77777777" w:rsidR="004A3569" w:rsidRPr="004A3569" w:rsidRDefault="004A3569" w:rsidP="004A3569">
      <w:pPr>
        <w:rPr>
          <w:lang w:val="fr-FR"/>
        </w:rPr>
      </w:pPr>
    </w:p>
    <w:p w14:paraId="162E85FF" w14:textId="2373C50B" w:rsidR="004A3569" w:rsidRPr="004A3569" w:rsidRDefault="004A3569" w:rsidP="004A3569">
      <w:pPr>
        <w:pStyle w:val="Titre2"/>
        <w:numPr>
          <w:ilvl w:val="0"/>
          <w:numId w:val="30"/>
        </w:numPr>
        <w:rPr>
          <w:lang w:val="fr-FR"/>
        </w:rPr>
      </w:pPr>
      <w:bookmarkStart w:id="13" w:name="_Toc177715584"/>
      <w:r w:rsidRPr="004A3569">
        <w:rPr>
          <w:lang w:val="fr-FR"/>
        </w:rPr>
        <w:t>Références juridiques pertinentes</w:t>
      </w:r>
      <w:bookmarkEnd w:id="13"/>
    </w:p>
    <w:p w14:paraId="5BBF2029" w14:textId="77777777" w:rsidR="004A3569" w:rsidRPr="004A3569" w:rsidRDefault="004A3569" w:rsidP="004A3569">
      <w:pPr>
        <w:rPr>
          <w:b/>
          <w:bCs/>
          <w:lang w:val="fr-FR"/>
        </w:rPr>
      </w:pPr>
    </w:p>
    <w:p w14:paraId="11D73293" w14:textId="77777777" w:rsidR="004A3569" w:rsidRPr="004A3569" w:rsidRDefault="004A3569" w:rsidP="004A3569">
      <w:pPr>
        <w:numPr>
          <w:ilvl w:val="0"/>
          <w:numId w:val="27"/>
        </w:numPr>
        <w:rPr>
          <w:lang w:val="fr-FR"/>
        </w:rPr>
      </w:pPr>
      <w:r w:rsidRPr="004A3569">
        <w:rPr>
          <w:b/>
          <w:bCs/>
          <w:lang w:val="fr-FR"/>
        </w:rPr>
        <w:t>Article 1134 du Code civil (ancien)</w:t>
      </w:r>
      <w:r w:rsidRPr="004A3569">
        <w:rPr>
          <w:lang w:val="fr-FR"/>
        </w:rPr>
        <w:t>, aujourd'hui remplacé par l'article 1103, prévoit que « les conventions légalement formées tiennent lieu de loi à ceux qui les ont faites. Elles ne peuvent être révoquées que de leur consentement mutuel, ou pour les causes que la loi autorise. »</w:t>
      </w:r>
    </w:p>
    <w:p w14:paraId="07BBE7F4" w14:textId="77777777" w:rsidR="004A3569" w:rsidRPr="004A3569" w:rsidRDefault="004A3569" w:rsidP="004A3569">
      <w:pPr>
        <w:numPr>
          <w:ilvl w:val="0"/>
          <w:numId w:val="27"/>
        </w:numPr>
        <w:rPr>
          <w:lang w:val="fr-FR"/>
        </w:rPr>
      </w:pPr>
      <w:r w:rsidRPr="004A3569">
        <w:rPr>
          <w:b/>
          <w:bCs/>
          <w:lang w:val="fr-FR"/>
        </w:rPr>
        <w:t>Article 1217 du Code civil</w:t>
      </w:r>
      <w:r w:rsidRPr="004A3569">
        <w:rPr>
          <w:lang w:val="fr-FR"/>
        </w:rPr>
        <w:t xml:space="preserve"> : En cas d’inexécution contractuelle, la partie lésée peut demander la résolution du contrat ou l’exécution forcée, et obtenir des dommages-intérêts.</w:t>
      </w:r>
    </w:p>
    <w:p w14:paraId="4EBE381B" w14:textId="77777777" w:rsidR="004A3569" w:rsidRPr="004A3569" w:rsidRDefault="004A3569" w:rsidP="004A3569">
      <w:pPr>
        <w:numPr>
          <w:ilvl w:val="0"/>
          <w:numId w:val="27"/>
        </w:numPr>
        <w:rPr>
          <w:lang w:val="fr-FR"/>
        </w:rPr>
      </w:pPr>
      <w:r w:rsidRPr="004A3569">
        <w:rPr>
          <w:b/>
          <w:bCs/>
          <w:lang w:val="fr-FR"/>
        </w:rPr>
        <w:t>Article 1170 du Code civil</w:t>
      </w:r>
      <w:r w:rsidRPr="004A3569">
        <w:rPr>
          <w:lang w:val="fr-FR"/>
        </w:rPr>
        <w:t xml:space="preserve"> : « Toute clause qui prive de sa substance l’obligation essentielle du débiteur est réputée non écrite. » Cet article peut s’appliquer aux contrats de prestations de service numérique si certaines clauses abusives ou disproportionnées sont intégrées.</w:t>
      </w:r>
    </w:p>
    <w:p w14:paraId="522E9249" w14:textId="77777777" w:rsidR="004A3569" w:rsidRDefault="004A3569" w:rsidP="004A3569">
      <w:pPr>
        <w:rPr>
          <w:b/>
          <w:bCs/>
          <w:lang w:val="fr-FR"/>
        </w:rPr>
      </w:pPr>
    </w:p>
    <w:p w14:paraId="727B540C" w14:textId="5060873E" w:rsidR="004A3569" w:rsidRDefault="004A3569" w:rsidP="004A3569">
      <w:pPr>
        <w:pStyle w:val="Titre2"/>
        <w:rPr>
          <w:lang w:val="fr-FR"/>
        </w:rPr>
      </w:pPr>
      <w:bookmarkStart w:id="14" w:name="_Toc177715585"/>
      <w:r w:rsidRPr="004A3569">
        <w:rPr>
          <w:lang w:val="fr-FR"/>
        </w:rPr>
        <w:t xml:space="preserve">Les SLA (Service </w:t>
      </w:r>
      <w:proofErr w:type="spellStart"/>
      <w:r w:rsidRPr="004A3569">
        <w:rPr>
          <w:lang w:val="fr-FR"/>
        </w:rPr>
        <w:t>Level</w:t>
      </w:r>
      <w:proofErr w:type="spellEnd"/>
      <w:r w:rsidRPr="004A3569">
        <w:rPr>
          <w:lang w:val="fr-FR"/>
        </w:rPr>
        <w:t xml:space="preserve"> </w:t>
      </w:r>
      <w:proofErr w:type="spellStart"/>
      <w:r w:rsidRPr="004A3569">
        <w:rPr>
          <w:lang w:val="fr-FR"/>
        </w:rPr>
        <w:t>Agreements</w:t>
      </w:r>
      <w:proofErr w:type="spellEnd"/>
      <w:r w:rsidRPr="004A3569">
        <w:rPr>
          <w:lang w:val="fr-FR"/>
        </w:rPr>
        <w:t>)</w:t>
      </w:r>
      <w:bookmarkEnd w:id="14"/>
    </w:p>
    <w:p w14:paraId="528B849F" w14:textId="77777777" w:rsidR="004A3569" w:rsidRPr="004A3569" w:rsidRDefault="004A3569" w:rsidP="004A3569">
      <w:pPr>
        <w:rPr>
          <w:b/>
          <w:bCs/>
          <w:lang w:val="fr-FR"/>
        </w:rPr>
      </w:pPr>
    </w:p>
    <w:p w14:paraId="00545450" w14:textId="77777777" w:rsidR="004A3569" w:rsidRPr="004A3569" w:rsidRDefault="004A3569" w:rsidP="004A3569">
      <w:pPr>
        <w:rPr>
          <w:lang w:val="fr-FR"/>
        </w:rPr>
      </w:pPr>
      <w:r w:rsidRPr="004A3569">
        <w:rPr>
          <w:lang w:val="fr-FR"/>
        </w:rPr>
        <w:t xml:space="preserve">Les </w:t>
      </w:r>
      <w:r w:rsidRPr="004A3569">
        <w:rPr>
          <w:b/>
          <w:bCs/>
          <w:lang w:val="fr-FR"/>
        </w:rPr>
        <w:t>SLA</w:t>
      </w:r>
      <w:r w:rsidRPr="004A3569">
        <w:rPr>
          <w:lang w:val="fr-FR"/>
        </w:rPr>
        <w:t xml:space="preserve"> sont des accords sur les niveaux de service inclus dans les contrats de prestation numérique. Ils précisent les engagements de performance pris par le prestataire, tels que la disponibilité du service, le temps de réponse en cas d’incident, ou les délais de maintenance.</w:t>
      </w:r>
    </w:p>
    <w:p w14:paraId="3E332F98" w14:textId="77777777" w:rsidR="004A3569" w:rsidRPr="004A3569" w:rsidRDefault="004A3569" w:rsidP="004A3569">
      <w:pPr>
        <w:numPr>
          <w:ilvl w:val="0"/>
          <w:numId w:val="28"/>
        </w:numPr>
        <w:rPr>
          <w:lang w:val="fr-FR"/>
        </w:rPr>
      </w:pPr>
      <w:r w:rsidRPr="004A3569">
        <w:rPr>
          <w:b/>
          <w:bCs/>
          <w:lang w:val="fr-FR"/>
        </w:rPr>
        <w:t>Exemple</w:t>
      </w:r>
      <w:r w:rsidRPr="004A3569">
        <w:rPr>
          <w:lang w:val="fr-FR"/>
        </w:rPr>
        <w:t xml:space="preserve"> : Un SLA peut prévoir que la plateforme sera disponible à 99,9 % du temps, ou que les incidents critiques seront traités sous 2 heures.</w:t>
      </w:r>
    </w:p>
    <w:p w14:paraId="59BAF0DD" w14:textId="77777777" w:rsidR="004A3569" w:rsidRDefault="004A3569" w:rsidP="004A3569">
      <w:pPr>
        <w:rPr>
          <w:b/>
          <w:bCs/>
          <w:lang w:val="fr-FR"/>
        </w:rPr>
      </w:pPr>
    </w:p>
    <w:p w14:paraId="047BB288" w14:textId="7484305E" w:rsidR="004A3569" w:rsidRPr="004A3569" w:rsidRDefault="004A3569" w:rsidP="004A3569">
      <w:pPr>
        <w:pStyle w:val="Titre2"/>
        <w:rPr>
          <w:lang w:val="fr-FR"/>
        </w:rPr>
      </w:pPr>
      <w:bookmarkStart w:id="15" w:name="_Toc177715586"/>
      <w:r w:rsidRPr="004A3569">
        <w:rPr>
          <w:lang w:val="fr-FR"/>
        </w:rPr>
        <w:t>Les clauses</w:t>
      </w:r>
      <w:bookmarkEnd w:id="15"/>
    </w:p>
    <w:p w14:paraId="5D691144" w14:textId="77777777" w:rsidR="004A3569" w:rsidRDefault="004A3569" w:rsidP="004A3569">
      <w:pPr>
        <w:rPr>
          <w:b/>
          <w:bCs/>
          <w:lang w:val="fr-FR"/>
        </w:rPr>
      </w:pPr>
    </w:p>
    <w:p w14:paraId="4CB5AC57" w14:textId="55FB37ED" w:rsidR="004A3569" w:rsidRPr="004A3569" w:rsidRDefault="004A3569" w:rsidP="004A3569">
      <w:pPr>
        <w:rPr>
          <w:b/>
          <w:bCs/>
          <w:lang w:val="fr-FR"/>
        </w:rPr>
      </w:pPr>
      <w:r w:rsidRPr="004A3569">
        <w:rPr>
          <w:b/>
          <w:bCs/>
          <w:lang w:val="fr-FR"/>
        </w:rPr>
        <w:t>Clauses de résiliation</w:t>
      </w:r>
    </w:p>
    <w:p w14:paraId="70A170D3" w14:textId="77777777" w:rsidR="004A3569" w:rsidRPr="004A3569" w:rsidRDefault="004A3569" w:rsidP="004A3569">
      <w:pPr>
        <w:rPr>
          <w:lang w:val="fr-FR"/>
        </w:rPr>
      </w:pPr>
      <w:r w:rsidRPr="004A3569">
        <w:rPr>
          <w:lang w:val="fr-FR"/>
        </w:rPr>
        <w:t xml:space="preserve">Les clauses de résiliation dans les contrats numériques sont cruciales car elles permettent de prévoir les conditions dans lesquelles une partie peut mettre fin au contrat, notamment en cas de non-respect des engagements (ex. : non-conformité aux SLA). En vertu de l'article </w:t>
      </w:r>
      <w:r w:rsidRPr="004A3569">
        <w:rPr>
          <w:b/>
          <w:bCs/>
          <w:lang w:val="fr-FR"/>
        </w:rPr>
        <w:t>1225 du Code civil</w:t>
      </w:r>
      <w:r w:rsidRPr="004A3569">
        <w:rPr>
          <w:lang w:val="fr-FR"/>
        </w:rPr>
        <w:t>, une clause de résiliation doit être expresse et clairement définie.</w:t>
      </w:r>
    </w:p>
    <w:p w14:paraId="53AAEF62" w14:textId="77777777" w:rsidR="004A3569" w:rsidRDefault="004A3569" w:rsidP="004A3569">
      <w:pPr>
        <w:rPr>
          <w:b/>
          <w:bCs/>
          <w:lang w:val="fr-FR"/>
        </w:rPr>
      </w:pPr>
    </w:p>
    <w:p w14:paraId="7C724C14" w14:textId="2E91A808" w:rsidR="004A3569" w:rsidRPr="004A3569" w:rsidRDefault="004A3569" w:rsidP="004A3569">
      <w:pPr>
        <w:rPr>
          <w:b/>
          <w:bCs/>
          <w:lang w:val="fr-FR"/>
        </w:rPr>
      </w:pPr>
      <w:r w:rsidRPr="004A3569">
        <w:rPr>
          <w:b/>
          <w:bCs/>
          <w:lang w:val="fr-FR"/>
        </w:rPr>
        <w:t>Clauses de pénalité</w:t>
      </w:r>
    </w:p>
    <w:p w14:paraId="47DD9E2A" w14:textId="77777777" w:rsidR="004A3569" w:rsidRDefault="004A3569" w:rsidP="004A3569">
      <w:pPr>
        <w:rPr>
          <w:lang w:val="fr-FR"/>
        </w:rPr>
      </w:pPr>
      <w:r w:rsidRPr="004A3569">
        <w:rPr>
          <w:lang w:val="fr-FR"/>
        </w:rPr>
        <w:t xml:space="preserve">Les clauses de pénalité prévoient des sanctions financières en cas de retard ou d’inexécution partielle des obligations. Conformément à l'article </w:t>
      </w:r>
      <w:r w:rsidRPr="004A3569">
        <w:rPr>
          <w:b/>
          <w:bCs/>
          <w:lang w:val="fr-FR"/>
        </w:rPr>
        <w:t>1231-5 du Code civil</w:t>
      </w:r>
      <w:r w:rsidRPr="004A3569">
        <w:rPr>
          <w:lang w:val="fr-FR"/>
        </w:rPr>
        <w:t>, ces clauses doivent être proportionnelles au préjudice subi. Toute pénalité disproportionnée pourrait être réduite par le juge.</w:t>
      </w:r>
    </w:p>
    <w:p w14:paraId="70000536" w14:textId="77777777" w:rsidR="004A3569" w:rsidRDefault="004A3569" w:rsidP="004A3569">
      <w:pPr>
        <w:rPr>
          <w:lang w:val="fr-FR"/>
        </w:rPr>
      </w:pPr>
    </w:p>
    <w:p w14:paraId="1914DFE2" w14:textId="77777777" w:rsidR="004A3569" w:rsidRPr="004A3569" w:rsidRDefault="004A3569" w:rsidP="004A3569">
      <w:pPr>
        <w:rPr>
          <w:b/>
          <w:bCs/>
          <w:lang w:val="fr-FR"/>
        </w:rPr>
      </w:pPr>
      <w:r w:rsidRPr="004A3569">
        <w:rPr>
          <w:b/>
          <w:bCs/>
          <w:lang w:val="fr-FR"/>
        </w:rPr>
        <w:t>Clauses de confidentialité :</w:t>
      </w:r>
    </w:p>
    <w:p w14:paraId="50DD903B" w14:textId="77777777" w:rsidR="004A3569" w:rsidRPr="004A3569" w:rsidRDefault="004A3569" w:rsidP="004A3569">
      <w:pPr>
        <w:rPr>
          <w:lang w:val="fr-FR"/>
        </w:rPr>
      </w:pPr>
      <w:r w:rsidRPr="004A3569">
        <w:rPr>
          <w:lang w:val="fr-FR"/>
        </w:rPr>
        <w:t xml:space="preserve">Dans un contrat de prestation de service numérique, la </w:t>
      </w:r>
      <w:r w:rsidRPr="004A3569">
        <w:rPr>
          <w:b/>
          <w:bCs/>
          <w:lang w:val="fr-FR"/>
        </w:rPr>
        <w:t>clause de confidentialité</w:t>
      </w:r>
      <w:r w:rsidRPr="004A3569">
        <w:rPr>
          <w:lang w:val="fr-FR"/>
        </w:rPr>
        <w:t xml:space="preserve"> est essentielle car elle impose au prestataire de garder confidentielles toutes les informations auxquelles il a accès dans le cadre de l’exécution du contrat. Conformément à l’article 1103 du Code civil, cette clause oblige le prestataire à :</w:t>
      </w:r>
    </w:p>
    <w:p w14:paraId="5EF30AF0" w14:textId="77777777" w:rsidR="004A3569" w:rsidRPr="004A3569" w:rsidRDefault="004A3569" w:rsidP="004A3569">
      <w:pPr>
        <w:numPr>
          <w:ilvl w:val="0"/>
          <w:numId w:val="31"/>
        </w:numPr>
        <w:rPr>
          <w:lang w:val="fr-FR"/>
        </w:rPr>
      </w:pPr>
      <w:proofErr w:type="gramStart"/>
      <w:r w:rsidRPr="004A3569">
        <w:rPr>
          <w:lang w:val="fr-FR"/>
        </w:rPr>
        <w:t>ne</w:t>
      </w:r>
      <w:proofErr w:type="gramEnd"/>
      <w:r w:rsidRPr="004A3569">
        <w:rPr>
          <w:lang w:val="fr-FR"/>
        </w:rPr>
        <w:t xml:space="preserve"> pas divulguer les informations confidentielles à des tiers ;</w:t>
      </w:r>
    </w:p>
    <w:p w14:paraId="2CF77B6C" w14:textId="77777777" w:rsidR="004A3569" w:rsidRPr="004A3569" w:rsidRDefault="004A3569" w:rsidP="004A3569">
      <w:pPr>
        <w:numPr>
          <w:ilvl w:val="0"/>
          <w:numId w:val="31"/>
        </w:numPr>
        <w:rPr>
          <w:lang w:val="fr-FR"/>
        </w:rPr>
      </w:pPr>
      <w:proofErr w:type="gramStart"/>
      <w:r w:rsidRPr="004A3569">
        <w:rPr>
          <w:lang w:val="fr-FR"/>
        </w:rPr>
        <w:t>sécuriser</w:t>
      </w:r>
      <w:proofErr w:type="gramEnd"/>
      <w:r w:rsidRPr="004A3569">
        <w:rPr>
          <w:lang w:val="fr-FR"/>
        </w:rPr>
        <w:t xml:space="preserve"> ces informations contre toute utilisation ou divulgation non autorisée.</w:t>
      </w:r>
    </w:p>
    <w:p w14:paraId="2D4696BB" w14:textId="77777777" w:rsidR="004A3569" w:rsidRPr="004A3569" w:rsidRDefault="004A3569" w:rsidP="004A3569">
      <w:pPr>
        <w:rPr>
          <w:lang w:val="fr-FR"/>
        </w:rPr>
      </w:pPr>
      <w:r w:rsidRPr="004A3569">
        <w:rPr>
          <w:lang w:val="fr-FR"/>
        </w:rPr>
        <w:t>La confidentialité est particulièrement importante dans le domaine numérique, où le prestataire peut manipuler des données sensibles, telles que des informations commerciales ou personnelles.</w:t>
      </w:r>
    </w:p>
    <w:p w14:paraId="17873BB5" w14:textId="77777777" w:rsidR="004A3569" w:rsidRDefault="004A3569" w:rsidP="004A3569">
      <w:pPr>
        <w:rPr>
          <w:b/>
          <w:bCs/>
          <w:lang w:val="fr-FR"/>
        </w:rPr>
      </w:pPr>
    </w:p>
    <w:p w14:paraId="08115C21" w14:textId="4304503E" w:rsidR="004A3569" w:rsidRPr="004A3569" w:rsidRDefault="004A3569" w:rsidP="004A3569">
      <w:pPr>
        <w:rPr>
          <w:b/>
          <w:bCs/>
          <w:lang w:val="fr-FR"/>
        </w:rPr>
      </w:pPr>
      <w:r w:rsidRPr="004A3569">
        <w:rPr>
          <w:b/>
          <w:bCs/>
          <w:lang w:val="fr-FR"/>
        </w:rPr>
        <w:t>Clauses de propriété et de transfert de propriété :</w:t>
      </w:r>
    </w:p>
    <w:p w14:paraId="1D080973" w14:textId="77777777" w:rsidR="004A3569" w:rsidRPr="004A3569" w:rsidRDefault="004A3569" w:rsidP="004A3569">
      <w:pPr>
        <w:rPr>
          <w:lang w:val="fr-FR"/>
        </w:rPr>
      </w:pPr>
      <w:r w:rsidRPr="004A3569">
        <w:rPr>
          <w:lang w:val="fr-FR"/>
        </w:rPr>
        <w:t xml:space="preserve">Les </w:t>
      </w:r>
      <w:r w:rsidRPr="004A3569">
        <w:rPr>
          <w:b/>
          <w:bCs/>
          <w:lang w:val="fr-FR"/>
        </w:rPr>
        <w:t>clauses de propriété</w:t>
      </w:r>
      <w:r w:rsidRPr="004A3569">
        <w:rPr>
          <w:lang w:val="fr-FR"/>
        </w:rPr>
        <w:t xml:space="preserve"> permettent de définir à qui appartiendra le produit ou le service développé ou fourni dans le cadre du contrat. Ces clauses distinguent généralement la </w:t>
      </w:r>
      <w:r w:rsidRPr="004A3569">
        <w:rPr>
          <w:b/>
          <w:bCs/>
          <w:lang w:val="fr-FR"/>
        </w:rPr>
        <w:t>propriété intellectuelle</w:t>
      </w:r>
      <w:r w:rsidRPr="004A3569">
        <w:rPr>
          <w:lang w:val="fr-FR"/>
        </w:rPr>
        <w:t xml:space="preserve"> du prestataire (ex : logiciel, algorithme) de la propriété des </w:t>
      </w:r>
      <w:r w:rsidRPr="004A3569">
        <w:rPr>
          <w:b/>
          <w:bCs/>
          <w:lang w:val="fr-FR"/>
        </w:rPr>
        <w:t>données fournies par le client</w:t>
      </w:r>
      <w:r w:rsidRPr="004A3569">
        <w:rPr>
          <w:lang w:val="fr-FR"/>
        </w:rPr>
        <w:t xml:space="preserve"> ou des résultats spécifiques obtenus dans le cadre de la prestation.</w:t>
      </w:r>
    </w:p>
    <w:p w14:paraId="585F41BD" w14:textId="77777777" w:rsidR="004A3569" w:rsidRPr="004A3569" w:rsidRDefault="004A3569" w:rsidP="004A3569">
      <w:pPr>
        <w:numPr>
          <w:ilvl w:val="0"/>
          <w:numId w:val="32"/>
        </w:numPr>
        <w:rPr>
          <w:lang w:val="fr-FR"/>
        </w:rPr>
      </w:pPr>
      <w:r w:rsidRPr="004A3569">
        <w:rPr>
          <w:b/>
          <w:bCs/>
          <w:lang w:val="fr-FR"/>
        </w:rPr>
        <w:t>Clause de transfert de propriété</w:t>
      </w:r>
      <w:r w:rsidRPr="004A3569">
        <w:rPr>
          <w:lang w:val="fr-FR"/>
        </w:rPr>
        <w:t xml:space="preserve"> : En cas de vente ou de cession, ces clauses prévoient à quel moment et sous quelles conditions le transfert de propriété s’opère (ex : paiement complet). En l'absence de </w:t>
      </w:r>
      <w:r w:rsidRPr="004A3569">
        <w:rPr>
          <w:lang w:val="fr-FR"/>
        </w:rPr>
        <w:lastRenderedPageBreak/>
        <w:t>dispositions particulières, l'article 1583 du Code civil prévoit que la vente est parfaite dès qu'il y a accord sur la chose et le prix.</w:t>
      </w:r>
    </w:p>
    <w:p w14:paraId="39FCDC2E" w14:textId="77777777" w:rsidR="004A3569" w:rsidRDefault="004A3569" w:rsidP="004A3569">
      <w:pPr>
        <w:rPr>
          <w:b/>
          <w:bCs/>
          <w:lang w:val="fr-FR"/>
        </w:rPr>
      </w:pPr>
    </w:p>
    <w:p w14:paraId="5969DC01" w14:textId="3A0A58C9" w:rsidR="004A3569" w:rsidRPr="004A3569" w:rsidRDefault="004A3569" w:rsidP="004A3569">
      <w:pPr>
        <w:rPr>
          <w:b/>
          <w:bCs/>
          <w:lang w:val="fr-FR"/>
        </w:rPr>
      </w:pPr>
      <w:r w:rsidRPr="004A3569">
        <w:rPr>
          <w:b/>
          <w:bCs/>
          <w:lang w:val="fr-FR"/>
        </w:rPr>
        <w:t>Clauses de résultat ou de moyens :</w:t>
      </w:r>
    </w:p>
    <w:p w14:paraId="4D2A053A" w14:textId="77777777" w:rsidR="004A3569" w:rsidRPr="004A3569" w:rsidRDefault="004A3569" w:rsidP="004A3569">
      <w:pPr>
        <w:rPr>
          <w:lang w:val="fr-FR"/>
        </w:rPr>
      </w:pPr>
      <w:r w:rsidRPr="004A3569">
        <w:rPr>
          <w:lang w:val="fr-FR"/>
        </w:rPr>
        <w:t xml:space="preserve">Une </w:t>
      </w:r>
      <w:r w:rsidRPr="004A3569">
        <w:rPr>
          <w:b/>
          <w:bCs/>
          <w:lang w:val="fr-FR"/>
        </w:rPr>
        <w:t>clause de résultat</w:t>
      </w:r>
      <w:r w:rsidRPr="004A3569">
        <w:rPr>
          <w:lang w:val="fr-FR"/>
        </w:rPr>
        <w:t xml:space="preserve"> impose au prestataire une obligation de parvenir à un objectif précis, défini dans le contrat. Si cet objectif n'est pas atteint, le prestataire pourra être tenu responsable, sauf en cas de force majeure.</w:t>
      </w:r>
    </w:p>
    <w:p w14:paraId="60176D5E" w14:textId="77777777" w:rsidR="004A3569" w:rsidRPr="004A3569" w:rsidRDefault="004A3569" w:rsidP="004A3569">
      <w:pPr>
        <w:numPr>
          <w:ilvl w:val="0"/>
          <w:numId w:val="33"/>
        </w:numPr>
        <w:rPr>
          <w:lang w:val="fr-FR"/>
        </w:rPr>
      </w:pPr>
      <w:r w:rsidRPr="004A3569">
        <w:rPr>
          <w:b/>
          <w:bCs/>
          <w:lang w:val="fr-FR"/>
        </w:rPr>
        <w:t>Obligation de moyens</w:t>
      </w:r>
      <w:r w:rsidRPr="004A3569">
        <w:rPr>
          <w:lang w:val="fr-FR"/>
        </w:rPr>
        <w:t xml:space="preserve"> : En revanche, dans une </w:t>
      </w:r>
      <w:r w:rsidRPr="004A3569">
        <w:rPr>
          <w:b/>
          <w:bCs/>
          <w:lang w:val="fr-FR"/>
        </w:rPr>
        <w:t>clause de moyens</w:t>
      </w:r>
      <w:r w:rsidRPr="004A3569">
        <w:rPr>
          <w:lang w:val="fr-FR"/>
        </w:rPr>
        <w:t>, le prestataire s’engage seulement à mettre en œuvre tous les moyens à sa disposition pour accomplir la prestation. La responsabilité du prestataire ne sera engagée que s’il est prouvé qu’il n’a pas mis en œuvre les moyens nécessaires. Ces distinctions sont prévues par la jurisprudence, et leur application dépend des circonstances du contrat.</w:t>
      </w:r>
    </w:p>
    <w:p w14:paraId="3779EBC9" w14:textId="77777777" w:rsidR="004A3569" w:rsidRDefault="004A3569" w:rsidP="004A3569">
      <w:pPr>
        <w:rPr>
          <w:b/>
          <w:bCs/>
          <w:lang w:val="fr-FR"/>
        </w:rPr>
      </w:pPr>
    </w:p>
    <w:p w14:paraId="7DCB8D2E" w14:textId="34979D4A" w:rsidR="004A3569" w:rsidRPr="004A3569" w:rsidRDefault="004A3569" w:rsidP="004A3569">
      <w:pPr>
        <w:rPr>
          <w:b/>
          <w:bCs/>
          <w:lang w:val="fr-FR"/>
        </w:rPr>
      </w:pPr>
      <w:r w:rsidRPr="004A3569">
        <w:rPr>
          <w:b/>
          <w:bCs/>
          <w:lang w:val="fr-FR"/>
        </w:rPr>
        <w:t>Clauses d’assistance :</w:t>
      </w:r>
    </w:p>
    <w:p w14:paraId="04F41C58" w14:textId="77777777" w:rsidR="004A3569" w:rsidRPr="004A3569" w:rsidRDefault="004A3569" w:rsidP="004A3569">
      <w:pPr>
        <w:rPr>
          <w:lang w:val="fr-FR"/>
        </w:rPr>
      </w:pPr>
      <w:r w:rsidRPr="004A3569">
        <w:rPr>
          <w:lang w:val="fr-FR"/>
        </w:rPr>
        <w:t xml:space="preserve">Les </w:t>
      </w:r>
      <w:r w:rsidRPr="004A3569">
        <w:rPr>
          <w:b/>
          <w:bCs/>
          <w:lang w:val="fr-FR"/>
        </w:rPr>
        <w:t>clauses d’assistance</w:t>
      </w:r>
      <w:r w:rsidRPr="004A3569">
        <w:rPr>
          <w:lang w:val="fr-FR"/>
        </w:rPr>
        <w:t xml:space="preserve"> définissent les conditions dans lesquelles le prestataire offre un support au client, que ce soit sous forme de </w:t>
      </w:r>
      <w:r w:rsidRPr="004A3569">
        <w:rPr>
          <w:b/>
          <w:bCs/>
          <w:lang w:val="fr-FR"/>
        </w:rPr>
        <w:t>hotline</w:t>
      </w:r>
      <w:r w:rsidRPr="004A3569">
        <w:rPr>
          <w:lang w:val="fr-FR"/>
        </w:rPr>
        <w:t xml:space="preserve"> ou de dépannage. Elles incluent généralement </w:t>
      </w:r>
      <w:proofErr w:type="gramStart"/>
      <w:r w:rsidRPr="004A3569">
        <w:rPr>
          <w:lang w:val="fr-FR"/>
        </w:rPr>
        <w:t>des informations sur</w:t>
      </w:r>
      <w:proofErr w:type="gramEnd"/>
      <w:r w:rsidRPr="004A3569">
        <w:rPr>
          <w:lang w:val="fr-FR"/>
        </w:rPr>
        <w:t xml:space="preserve"> :</w:t>
      </w:r>
    </w:p>
    <w:p w14:paraId="23F00E8C" w14:textId="77777777" w:rsidR="004A3569" w:rsidRPr="004A3569" w:rsidRDefault="004A3569" w:rsidP="004A3569">
      <w:pPr>
        <w:numPr>
          <w:ilvl w:val="0"/>
          <w:numId w:val="34"/>
        </w:numPr>
        <w:rPr>
          <w:lang w:val="fr-FR"/>
        </w:rPr>
      </w:pPr>
      <w:proofErr w:type="gramStart"/>
      <w:r w:rsidRPr="004A3569">
        <w:rPr>
          <w:lang w:val="fr-FR"/>
        </w:rPr>
        <w:t>les</w:t>
      </w:r>
      <w:proofErr w:type="gramEnd"/>
      <w:r w:rsidRPr="004A3569">
        <w:rPr>
          <w:lang w:val="fr-FR"/>
        </w:rPr>
        <w:t xml:space="preserve"> horaires d’assistance ;</w:t>
      </w:r>
    </w:p>
    <w:p w14:paraId="4B6ADBA3" w14:textId="77777777" w:rsidR="004A3569" w:rsidRPr="004A3569" w:rsidRDefault="004A3569" w:rsidP="004A3569">
      <w:pPr>
        <w:numPr>
          <w:ilvl w:val="0"/>
          <w:numId w:val="34"/>
        </w:numPr>
        <w:rPr>
          <w:lang w:val="fr-FR"/>
        </w:rPr>
      </w:pPr>
      <w:proofErr w:type="gramStart"/>
      <w:r w:rsidRPr="004A3569">
        <w:rPr>
          <w:lang w:val="fr-FR"/>
        </w:rPr>
        <w:t>les</w:t>
      </w:r>
      <w:proofErr w:type="gramEnd"/>
      <w:r w:rsidRPr="004A3569">
        <w:rPr>
          <w:lang w:val="fr-FR"/>
        </w:rPr>
        <w:t xml:space="preserve"> modalités d’accès à ce service (téléphone, email, portail en ligne) ;</w:t>
      </w:r>
    </w:p>
    <w:p w14:paraId="5D78E0B1" w14:textId="77777777" w:rsidR="004A3569" w:rsidRPr="004A3569" w:rsidRDefault="004A3569" w:rsidP="004A3569">
      <w:pPr>
        <w:numPr>
          <w:ilvl w:val="0"/>
          <w:numId w:val="34"/>
        </w:numPr>
        <w:rPr>
          <w:lang w:val="fr-FR"/>
        </w:rPr>
      </w:pPr>
      <w:proofErr w:type="gramStart"/>
      <w:r w:rsidRPr="004A3569">
        <w:rPr>
          <w:lang w:val="fr-FR"/>
        </w:rPr>
        <w:t>les</w:t>
      </w:r>
      <w:proofErr w:type="gramEnd"/>
      <w:r w:rsidRPr="004A3569">
        <w:rPr>
          <w:lang w:val="fr-FR"/>
        </w:rPr>
        <w:t xml:space="preserve"> délais de réponse et d’intervention ;</w:t>
      </w:r>
    </w:p>
    <w:p w14:paraId="0150D666" w14:textId="77777777" w:rsidR="004A3569" w:rsidRPr="004A3569" w:rsidRDefault="004A3569" w:rsidP="004A3569">
      <w:pPr>
        <w:numPr>
          <w:ilvl w:val="0"/>
          <w:numId w:val="34"/>
        </w:numPr>
        <w:rPr>
          <w:lang w:val="fr-FR"/>
        </w:rPr>
      </w:pPr>
      <w:proofErr w:type="gramStart"/>
      <w:r w:rsidRPr="004A3569">
        <w:rPr>
          <w:lang w:val="fr-FR"/>
        </w:rPr>
        <w:t>les</w:t>
      </w:r>
      <w:proofErr w:type="gramEnd"/>
      <w:r w:rsidRPr="004A3569">
        <w:rPr>
          <w:lang w:val="fr-FR"/>
        </w:rPr>
        <w:t xml:space="preserve"> tarifs spécifiques de l'assistance au-delà des services standards prévus dans le contrat.</w:t>
      </w:r>
    </w:p>
    <w:p w14:paraId="153DB058" w14:textId="77777777" w:rsidR="004A3569" w:rsidRPr="004A3569" w:rsidRDefault="004A3569" w:rsidP="004A3569">
      <w:pPr>
        <w:rPr>
          <w:lang w:val="fr-FR"/>
        </w:rPr>
      </w:pPr>
      <w:r w:rsidRPr="004A3569">
        <w:rPr>
          <w:lang w:val="fr-FR"/>
        </w:rPr>
        <w:t>Ces clauses visent à garantir une disponibilité suffisante du prestataire pour répondre aux besoins du client, notamment en cas de dysfonctionnement ou de problème technique.</w:t>
      </w:r>
    </w:p>
    <w:p w14:paraId="40D54477" w14:textId="77777777" w:rsidR="004A3569" w:rsidRDefault="004A3569" w:rsidP="004A3569">
      <w:pPr>
        <w:rPr>
          <w:b/>
          <w:bCs/>
          <w:lang w:val="fr-FR"/>
        </w:rPr>
      </w:pPr>
    </w:p>
    <w:p w14:paraId="7AA2D6AA" w14:textId="5B5757EF" w:rsidR="004A3569" w:rsidRPr="004A3569" w:rsidRDefault="004A3569" w:rsidP="004A3569">
      <w:pPr>
        <w:rPr>
          <w:b/>
          <w:bCs/>
          <w:lang w:val="fr-FR"/>
        </w:rPr>
      </w:pPr>
      <w:r w:rsidRPr="004A3569">
        <w:rPr>
          <w:b/>
          <w:bCs/>
          <w:lang w:val="fr-FR"/>
        </w:rPr>
        <w:t>Clause de veille technologique :</w:t>
      </w:r>
    </w:p>
    <w:p w14:paraId="54123407" w14:textId="77777777" w:rsidR="004A3569" w:rsidRPr="004A3569" w:rsidRDefault="004A3569" w:rsidP="004A3569">
      <w:pPr>
        <w:rPr>
          <w:lang w:val="fr-FR"/>
        </w:rPr>
      </w:pPr>
      <w:r w:rsidRPr="004A3569">
        <w:rPr>
          <w:lang w:val="fr-FR"/>
        </w:rPr>
        <w:t xml:space="preserve">Une </w:t>
      </w:r>
      <w:r w:rsidRPr="004A3569">
        <w:rPr>
          <w:b/>
          <w:bCs/>
          <w:lang w:val="fr-FR"/>
        </w:rPr>
        <w:t>clause de veille technologique</w:t>
      </w:r>
      <w:r w:rsidRPr="004A3569">
        <w:rPr>
          <w:lang w:val="fr-FR"/>
        </w:rPr>
        <w:t xml:space="preserve"> peut être incluse dans le contrat, imposant au prestataire une obligation de se tenir informé des dernières évolutions technologiques pertinentes pour le service fourni. Le prestataire s’engage alors à conseiller le client sur les nouvelles solutions disponibles qui pourraient améliorer la qualité ou la sécurité de la prestation.</w:t>
      </w:r>
    </w:p>
    <w:p w14:paraId="5962C0F1" w14:textId="77777777" w:rsidR="004A3569" w:rsidRPr="004A3569" w:rsidRDefault="004A3569" w:rsidP="004A3569">
      <w:pPr>
        <w:numPr>
          <w:ilvl w:val="0"/>
          <w:numId w:val="35"/>
        </w:numPr>
        <w:rPr>
          <w:lang w:val="fr-FR"/>
        </w:rPr>
      </w:pPr>
      <w:r w:rsidRPr="004A3569">
        <w:rPr>
          <w:lang w:val="fr-FR"/>
        </w:rPr>
        <w:t>Par exemple, si de nouvelles solutions de sécurité informatique plus performantes apparaissent, le prestataire doit en informer le client et lui proposer des mises à jour ou des ajustements pour rester à la pointe des technologies.</w:t>
      </w:r>
    </w:p>
    <w:p w14:paraId="3F4B50C3" w14:textId="77777777" w:rsidR="004A3569" w:rsidRPr="004A3569" w:rsidRDefault="004A3569" w:rsidP="004A3569">
      <w:pPr>
        <w:rPr>
          <w:lang w:val="fr-FR"/>
        </w:rPr>
      </w:pPr>
    </w:p>
    <w:p w14:paraId="1C0997B0" w14:textId="1926231A" w:rsidR="004A3569" w:rsidRDefault="004A3569" w:rsidP="004A3569">
      <w:pPr>
        <w:pStyle w:val="Titre2"/>
        <w:rPr>
          <w:lang w:val="fr-FR"/>
        </w:rPr>
      </w:pPr>
      <w:bookmarkStart w:id="16" w:name="_Toc177715587"/>
      <w:r w:rsidRPr="004A3569">
        <w:rPr>
          <w:lang w:val="fr-FR"/>
        </w:rPr>
        <w:t>Clauses abusives dans les contrats numériques</w:t>
      </w:r>
      <w:bookmarkEnd w:id="16"/>
    </w:p>
    <w:p w14:paraId="6DAC1E95" w14:textId="77777777" w:rsidR="004A3569" w:rsidRPr="004A3569" w:rsidRDefault="004A3569" w:rsidP="004A3569">
      <w:pPr>
        <w:rPr>
          <w:b/>
          <w:bCs/>
          <w:lang w:val="fr-FR"/>
        </w:rPr>
      </w:pPr>
    </w:p>
    <w:p w14:paraId="370CFA07" w14:textId="77777777" w:rsidR="004A3569" w:rsidRPr="004A3569" w:rsidRDefault="004A3569" w:rsidP="004A3569">
      <w:pPr>
        <w:rPr>
          <w:lang w:val="fr-FR"/>
        </w:rPr>
      </w:pPr>
      <w:r w:rsidRPr="004A3569">
        <w:rPr>
          <w:lang w:val="fr-FR"/>
        </w:rPr>
        <w:t>Une clause abusive est une clause qui crée un déséquilibre significatif entre les droits et obligations des parties. Dans le cadre des prestations numériques, une clause imposant des pénalités excessives au client en cas de résiliation anticipée, ou exonérant totalement le prestataire de toute responsabilité en cas de manquement grave, serait considérée comme abusive (article 1171 du Code civil pour les contrats d’adhésion).</w:t>
      </w:r>
    </w:p>
    <w:p w14:paraId="07E0B623" w14:textId="15B89FFD" w:rsidR="004A3569" w:rsidRPr="004A3569" w:rsidRDefault="004A3569" w:rsidP="004A3569">
      <w:pPr>
        <w:rPr>
          <w:lang w:val="fr-FR"/>
        </w:rPr>
      </w:pPr>
    </w:p>
    <w:p w14:paraId="52B81D27" w14:textId="003AD891" w:rsidR="004A3569" w:rsidRDefault="004A3569" w:rsidP="004A3569">
      <w:pPr>
        <w:pStyle w:val="Titre2"/>
        <w:rPr>
          <w:lang w:val="fr-FR"/>
        </w:rPr>
      </w:pPr>
      <w:bookmarkStart w:id="17" w:name="_Toc177715588"/>
      <w:r w:rsidRPr="004A3569">
        <w:rPr>
          <w:lang w:val="fr-FR"/>
        </w:rPr>
        <w:t>Réponses aux questions d’évaluation</w:t>
      </w:r>
      <w:bookmarkEnd w:id="17"/>
    </w:p>
    <w:p w14:paraId="59ED7F57" w14:textId="77777777" w:rsidR="004A3569" w:rsidRPr="004A3569" w:rsidRDefault="004A3569" w:rsidP="004A3569">
      <w:pPr>
        <w:rPr>
          <w:b/>
          <w:bCs/>
          <w:lang w:val="fr-FR"/>
        </w:rPr>
      </w:pPr>
    </w:p>
    <w:p w14:paraId="7C434319" w14:textId="77777777" w:rsidR="004A3569" w:rsidRPr="004A3569" w:rsidRDefault="004A3569" w:rsidP="004A3569">
      <w:pPr>
        <w:numPr>
          <w:ilvl w:val="0"/>
          <w:numId w:val="29"/>
        </w:numPr>
        <w:rPr>
          <w:lang w:val="fr-FR"/>
        </w:rPr>
      </w:pPr>
      <w:r w:rsidRPr="004A3569">
        <w:rPr>
          <w:b/>
          <w:bCs/>
          <w:lang w:val="fr-FR"/>
        </w:rPr>
        <w:t xml:space="preserve">Qu’est-ce qu’un SLA (Service </w:t>
      </w:r>
      <w:proofErr w:type="spellStart"/>
      <w:r w:rsidRPr="004A3569">
        <w:rPr>
          <w:b/>
          <w:bCs/>
          <w:lang w:val="fr-FR"/>
        </w:rPr>
        <w:t>Level</w:t>
      </w:r>
      <w:proofErr w:type="spellEnd"/>
      <w:r w:rsidRPr="004A3569">
        <w:rPr>
          <w:b/>
          <w:bCs/>
          <w:lang w:val="fr-FR"/>
        </w:rPr>
        <w:t xml:space="preserve"> Agreement) dans un contrat de prestation de service numérique ?</w:t>
      </w:r>
    </w:p>
    <w:p w14:paraId="3B71FF6F" w14:textId="77777777" w:rsidR="004A3569" w:rsidRPr="004A3569" w:rsidRDefault="004A3569" w:rsidP="004A3569">
      <w:pPr>
        <w:numPr>
          <w:ilvl w:val="1"/>
          <w:numId w:val="29"/>
        </w:numPr>
        <w:rPr>
          <w:lang w:val="fr-FR"/>
        </w:rPr>
      </w:pPr>
      <w:r w:rsidRPr="004A3569">
        <w:rPr>
          <w:b/>
          <w:bCs/>
          <w:lang w:val="fr-FR"/>
        </w:rPr>
        <w:t>Réponse</w:t>
      </w:r>
      <w:r w:rsidRPr="004A3569">
        <w:rPr>
          <w:lang w:val="fr-FR"/>
        </w:rPr>
        <w:t xml:space="preserve"> : Un SLA est un accord contractuel précisant les niveaux de performance minimale que le prestataire doit garantir, tels que le taux de disponibilité ou les délais d’intervention (ex. : 99 % de disponibilité mensuelle).</w:t>
      </w:r>
    </w:p>
    <w:p w14:paraId="1F6107CA" w14:textId="77777777" w:rsidR="004A3569" w:rsidRPr="004A3569" w:rsidRDefault="004A3569" w:rsidP="004A3569">
      <w:pPr>
        <w:numPr>
          <w:ilvl w:val="0"/>
          <w:numId w:val="29"/>
        </w:numPr>
        <w:rPr>
          <w:lang w:val="fr-FR"/>
        </w:rPr>
      </w:pPr>
      <w:r w:rsidRPr="004A3569">
        <w:rPr>
          <w:b/>
          <w:bCs/>
          <w:lang w:val="fr-FR"/>
        </w:rPr>
        <w:t>Quelle est l’importance des clauses de résiliation dans un contrat numérique ?</w:t>
      </w:r>
    </w:p>
    <w:p w14:paraId="68748847" w14:textId="77777777" w:rsidR="004A3569" w:rsidRPr="004A3569" w:rsidRDefault="004A3569" w:rsidP="004A3569">
      <w:pPr>
        <w:numPr>
          <w:ilvl w:val="1"/>
          <w:numId w:val="29"/>
        </w:numPr>
        <w:rPr>
          <w:lang w:val="fr-FR"/>
        </w:rPr>
      </w:pPr>
      <w:r w:rsidRPr="004A3569">
        <w:rPr>
          <w:b/>
          <w:bCs/>
          <w:lang w:val="fr-FR"/>
        </w:rPr>
        <w:t>Réponse</w:t>
      </w:r>
      <w:r w:rsidRPr="004A3569">
        <w:rPr>
          <w:lang w:val="fr-FR"/>
        </w:rPr>
        <w:t xml:space="preserve"> : Les clauses de résiliation permettent de prévoir les conditions de rupture du contrat, notamment en cas de non-respect des engagements contractuels. Elles protègent les parties contre une inexécution prolongée ou une prestation défaillante (article 1225 du Code civil).</w:t>
      </w:r>
    </w:p>
    <w:p w14:paraId="599CF8F6" w14:textId="77777777" w:rsidR="004A3569" w:rsidRPr="004A3569" w:rsidRDefault="004A3569" w:rsidP="004A3569">
      <w:pPr>
        <w:numPr>
          <w:ilvl w:val="0"/>
          <w:numId w:val="29"/>
        </w:numPr>
        <w:rPr>
          <w:lang w:val="fr-FR"/>
        </w:rPr>
      </w:pPr>
      <w:r w:rsidRPr="004A3569">
        <w:rPr>
          <w:b/>
          <w:bCs/>
          <w:lang w:val="fr-FR"/>
        </w:rPr>
        <w:t>Vrai ou faux : Un prestataire peut imposer une pénalité pour retard sans aucune justification.</w:t>
      </w:r>
    </w:p>
    <w:p w14:paraId="7607E828" w14:textId="77777777" w:rsidR="004A3569" w:rsidRPr="004A3569" w:rsidRDefault="004A3569" w:rsidP="004A3569">
      <w:pPr>
        <w:numPr>
          <w:ilvl w:val="1"/>
          <w:numId w:val="29"/>
        </w:numPr>
        <w:rPr>
          <w:lang w:val="fr-FR"/>
        </w:rPr>
      </w:pPr>
      <w:r w:rsidRPr="004A3569">
        <w:rPr>
          <w:b/>
          <w:bCs/>
          <w:lang w:val="fr-FR"/>
        </w:rPr>
        <w:t>Réponse</w:t>
      </w:r>
      <w:r w:rsidRPr="004A3569">
        <w:rPr>
          <w:lang w:val="fr-FR"/>
        </w:rPr>
        <w:t xml:space="preserve"> : Faux. Selon l'article 1231-5 du Code civil, une pénalité pour retard doit être justifiée et proportionnée au préjudice subi. Toute clause disproportionnée peut être révisée par le juge.</w:t>
      </w:r>
    </w:p>
    <w:p w14:paraId="28622ADD" w14:textId="77777777" w:rsidR="004A3569" w:rsidRPr="004A3569" w:rsidRDefault="004A3569" w:rsidP="004A3569">
      <w:pPr>
        <w:numPr>
          <w:ilvl w:val="0"/>
          <w:numId w:val="29"/>
        </w:numPr>
        <w:rPr>
          <w:lang w:val="fr-FR"/>
        </w:rPr>
      </w:pPr>
      <w:r w:rsidRPr="004A3569">
        <w:rPr>
          <w:b/>
          <w:bCs/>
          <w:lang w:val="fr-FR"/>
        </w:rPr>
        <w:t>Quels sont les recours en cas de non-respect des clauses de qualité de service ?</w:t>
      </w:r>
    </w:p>
    <w:p w14:paraId="59131C27" w14:textId="77777777" w:rsidR="004A3569" w:rsidRPr="004A3569" w:rsidRDefault="004A3569" w:rsidP="004A3569">
      <w:pPr>
        <w:numPr>
          <w:ilvl w:val="1"/>
          <w:numId w:val="29"/>
        </w:numPr>
        <w:rPr>
          <w:lang w:val="fr-FR"/>
        </w:rPr>
      </w:pPr>
      <w:r w:rsidRPr="004A3569">
        <w:rPr>
          <w:b/>
          <w:bCs/>
          <w:lang w:val="fr-FR"/>
        </w:rPr>
        <w:t>Réponse</w:t>
      </w:r>
      <w:r w:rsidRPr="004A3569">
        <w:rPr>
          <w:lang w:val="fr-FR"/>
        </w:rPr>
        <w:t xml:space="preserve"> : La partie lésée peut demander la résolution du contrat, l’exécution forcée des obligations, ou des dommages-intérêts (article 1217 du Code civil).</w:t>
      </w:r>
    </w:p>
    <w:p w14:paraId="4D2BE307" w14:textId="77777777" w:rsidR="004A3569" w:rsidRPr="004A3569" w:rsidRDefault="004A3569" w:rsidP="004A3569">
      <w:pPr>
        <w:numPr>
          <w:ilvl w:val="0"/>
          <w:numId w:val="29"/>
        </w:numPr>
        <w:rPr>
          <w:lang w:val="fr-FR"/>
        </w:rPr>
      </w:pPr>
      <w:r w:rsidRPr="004A3569">
        <w:rPr>
          <w:b/>
          <w:bCs/>
          <w:lang w:val="fr-FR"/>
        </w:rPr>
        <w:lastRenderedPageBreak/>
        <w:t>Donnez un exemple de clause abusive dans un contrat de prestation numérique.</w:t>
      </w:r>
    </w:p>
    <w:p w14:paraId="27B15BBC" w14:textId="77777777" w:rsidR="004A3569" w:rsidRPr="004A3569" w:rsidRDefault="004A3569" w:rsidP="004A3569">
      <w:pPr>
        <w:numPr>
          <w:ilvl w:val="1"/>
          <w:numId w:val="29"/>
        </w:numPr>
        <w:rPr>
          <w:lang w:val="fr-FR"/>
        </w:rPr>
      </w:pPr>
      <w:r w:rsidRPr="004A3569">
        <w:rPr>
          <w:b/>
          <w:bCs/>
          <w:lang w:val="fr-FR"/>
        </w:rPr>
        <w:t>Réponse</w:t>
      </w:r>
      <w:r w:rsidRPr="004A3569">
        <w:rPr>
          <w:lang w:val="fr-FR"/>
        </w:rPr>
        <w:t xml:space="preserve"> : Une clause exonérant totalement le prestataire de toute responsabilité en cas de défaut de performance constituerait une clause abusive selon l’article 1170 du Code civil, car elle priverait de sa substance l’obligation principale du contrat.</w:t>
      </w:r>
    </w:p>
    <w:p w14:paraId="68FCBFDF" w14:textId="77777777" w:rsidR="003116DE" w:rsidRPr="00683477" w:rsidRDefault="003116DE" w:rsidP="00683477"/>
    <w:p w14:paraId="1E3D6F57" w14:textId="77777777" w:rsidR="00F445C4" w:rsidRDefault="00F445C4" w:rsidP="000A1FFF">
      <w:pPr>
        <w:pStyle w:val="Sansinterligne"/>
        <w:rPr>
          <w:caps/>
          <w:spacing w:val="15"/>
          <w:sz w:val="20"/>
        </w:rPr>
      </w:pPr>
    </w:p>
    <w:p w14:paraId="037AE391" w14:textId="10505825" w:rsidR="00BC6D5E" w:rsidRDefault="00BC6D5E" w:rsidP="00BC6D5E">
      <w:pPr>
        <w:pStyle w:val="Titre1"/>
        <w:rPr>
          <w:lang w:val="fr-FR"/>
        </w:rPr>
      </w:pPr>
      <w:bookmarkStart w:id="18" w:name="_Toc177715589"/>
      <w:r>
        <w:rPr>
          <w:lang w:val="fr-FR"/>
        </w:rPr>
        <w:t>Liens entre les notions</w:t>
      </w:r>
      <w:bookmarkEnd w:id="18"/>
    </w:p>
    <w:p w14:paraId="6CB8B68F" w14:textId="77777777" w:rsidR="00BC6D5E" w:rsidRDefault="00BC6D5E" w:rsidP="002F2E02">
      <w:pPr>
        <w:rPr>
          <w:lang w:val="fr-FR"/>
        </w:rPr>
      </w:pPr>
    </w:p>
    <w:p w14:paraId="6301480D" w14:textId="77777777" w:rsidR="00BC6D5E" w:rsidRDefault="00BC6D5E" w:rsidP="00BC6D5E">
      <w:pPr>
        <w:rPr>
          <w:lang w:val="fr-FR"/>
        </w:rPr>
      </w:pPr>
      <w:r w:rsidRPr="00BC6D5E">
        <w:rPr>
          <w:lang w:val="fr-FR"/>
        </w:rPr>
        <w:t xml:space="preserve">La </w:t>
      </w:r>
      <w:r w:rsidRPr="00BC6D5E">
        <w:rPr>
          <w:b/>
          <w:bCs/>
          <w:lang w:val="fr-FR"/>
        </w:rPr>
        <w:t>preuve électronique</w:t>
      </w:r>
      <w:r w:rsidRPr="00BC6D5E">
        <w:rPr>
          <w:lang w:val="fr-FR"/>
        </w:rPr>
        <w:t xml:space="preserve"> est un élément fondamental dans les </w:t>
      </w:r>
      <w:r w:rsidRPr="00BC6D5E">
        <w:rPr>
          <w:b/>
          <w:bCs/>
          <w:lang w:val="fr-FR"/>
        </w:rPr>
        <w:t>contrats de vente électronique</w:t>
      </w:r>
      <w:r w:rsidRPr="00BC6D5E">
        <w:rPr>
          <w:lang w:val="fr-FR"/>
        </w:rPr>
        <w:t xml:space="preserve"> et les </w:t>
      </w:r>
      <w:r w:rsidRPr="00BC6D5E">
        <w:rPr>
          <w:b/>
          <w:bCs/>
          <w:lang w:val="fr-FR"/>
        </w:rPr>
        <w:t>contrats de prestations de services numériques</w:t>
      </w:r>
      <w:r w:rsidRPr="00BC6D5E">
        <w:rPr>
          <w:lang w:val="fr-FR"/>
        </w:rPr>
        <w:t>. Elle joue un rôle clé pour assurer la validité et la sécurité juridique de ces contrats, notamment en cas de litige. En effet, dans le cadre numérique, les preuves électroniques telles que les signatures électroniques, les courriers électroniques, les horodatages, et les logs des serveurs sont essentielles pour démontrer l’existence d’un contrat, la bonne exécution des obligations, ou encore une faute éventuelle.</w:t>
      </w:r>
    </w:p>
    <w:p w14:paraId="2D1E2073" w14:textId="77777777" w:rsidR="00BC6D5E" w:rsidRPr="00BC6D5E" w:rsidRDefault="00BC6D5E" w:rsidP="00BC6D5E">
      <w:pPr>
        <w:rPr>
          <w:lang w:val="fr-FR"/>
        </w:rPr>
      </w:pPr>
    </w:p>
    <w:p w14:paraId="43360D23" w14:textId="77777777" w:rsidR="00BC6D5E" w:rsidRPr="00BC6D5E" w:rsidRDefault="00BC6D5E" w:rsidP="00BC6D5E">
      <w:pPr>
        <w:rPr>
          <w:b/>
          <w:bCs/>
          <w:lang w:val="fr-FR"/>
        </w:rPr>
      </w:pPr>
      <w:r w:rsidRPr="00BC6D5E">
        <w:rPr>
          <w:b/>
          <w:bCs/>
          <w:lang w:val="fr-FR"/>
        </w:rPr>
        <w:t>Liens principaux :</w:t>
      </w:r>
    </w:p>
    <w:p w14:paraId="0BA2DF92" w14:textId="77777777" w:rsidR="00BC6D5E" w:rsidRPr="00BC6D5E" w:rsidRDefault="00BC6D5E">
      <w:pPr>
        <w:numPr>
          <w:ilvl w:val="0"/>
          <w:numId w:val="15"/>
        </w:numPr>
        <w:rPr>
          <w:lang w:val="fr-FR"/>
        </w:rPr>
      </w:pPr>
      <w:r w:rsidRPr="00BC6D5E">
        <w:rPr>
          <w:b/>
          <w:bCs/>
          <w:lang w:val="fr-FR"/>
        </w:rPr>
        <w:t>Signature électronique et validité des contrats :</w:t>
      </w:r>
      <w:r w:rsidRPr="00BC6D5E">
        <w:rPr>
          <w:lang w:val="fr-FR"/>
        </w:rPr>
        <w:t xml:space="preserve"> Les contrats de vente électronique et de services numériques s’appuient souvent sur des signatures électroniques pour officialiser l’accord entre les parties. Cela leur confère une valeur juridique équivalente à celle des contrats papier signés à la main (Article 1367 du Code civil). Ainsi, la signature électronique devient une preuve cruciale en cas de litige, prouvant le consentement des parties et la validité de l'accord.</w:t>
      </w:r>
    </w:p>
    <w:p w14:paraId="02678E14" w14:textId="77777777" w:rsidR="00BC6D5E" w:rsidRPr="00BC6D5E" w:rsidRDefault="00BC6D5E">
      <w:pPr>
        <w:numPr>
          <w:ilvl w:val="0"/>
          <w:numId w:val="15"/>
        </w:numPr>
        <w:rPr>
          <w:lang w:val="fr-FR"/>
        </w:rPr>
      </w:pPr>
      <w:r w:rsidRPr="00BC6D5E">
        <w:rPr>
          <w:b/>
          <w:bCs/>
          <w:lang w:val="fr-FR"/>
        </w:rPr>
        <w:t>E-mails et logs comme preuves d’exécution contractuelle :</w:t>
      </w:r>
      <w:r w:rsidRPr="00BC6D5E">
        <w:rPr>
          <w:lang w:val="fr-FR"/>
        </w:rPr>
        <w:t xml:space="preserve"> Dans le cadre d’un service numérique (comme la maintenance de serveurs ou la gestion d’un logiciel), les échanges d’e-mails entre les parties et les logs des systèmes peuvent prouver que les obligations ont été exécutées conformément au contrat, ou qu’un manquement a eu lieu. Ces preuves électroniques permettent d'établir les responsabilités de chaque partie.</w:t>
      </w:r>
    </w:p>
    <w:p w14:paraId="59C244EB" w14:textId="77777777" w:rsidR="00BC6D5E" w:rsidRPr="00BC6D5E" w:rsidRDefault="00BC6D5E">
      <w:pPr>
        <w:numPr>
          <w:ilvl w:val="0"/>
          <w:numId w:val="15"/>
        </w:numPr>
        <w:rPr>
          <w:lang w:val="fr-FR"/>
        </w:rPr>
      </w:pPr>
      <w:r w:rsidRPr="00BC6D5E">
        <w:rPr>
          <w:b/>
          <w:bCs/>
          <w:lang w:val="fr-FR"/>
        </w:rPr>
        <w:t>Protection des données et clauses de confidentialité :</w:t>
      </w:r>
      <w:r w:rsidRPr="00BC6D5E">
        <w:rPr>
          <w:lang w:val="fr-FR"/>
        </w:rPr>
        <w:t xml:space="preserve"> Dans les contrats de prestations de services numériques, la confidentialité des données échangées est souvent cruciale. La preuve électronique peut également être utilisée pour démontrer le respect ou la violation de ces clauses, notamment en fournissant des traces de la fuite ou de la protection des données.</w:t>
      </w:r>
    </w:p>
    <w:p w14:paraId="17A10DAD" w14:textId="77777777" w:rsidR="00BC6D5E" w:rsidRPr="002F2E02" w:rsidRDefault="00BC6D5E" w:rsidP="002F2E02">
      <w:pPr>
        <w:rPr>
          <w:lang w:val="fr-FR"/>
        </w:rPr>
      </w:pPr>
    </w:p>
    <w:p w14:paraId="68B9B163" w14:textId="57A56140" w:rsidR="00082514" w:rsidRDefault="00BC6D5E" w:rsidP="00BC6D5E">
      <w:pPr>
        <w:pStyle w:val="Titre1"/>
      </w:pPr>
      <w:bookmarkStart w:id="19" w:name="_Toc177715590"/>
      <w:r>
        <w:t>Résumé</w:t>
      </w:r>
      <w:bookmarkEnd w:id="19"/>
    </w:p>
    <w:p w14:paraId="0FDAF560" w14:textId="77777777" w:rsidR="00BC6D5E" w:rsidRDefault="00BC6D5E" w:rsidP="00082514"/>
    <w:tbl>
      <w:tblPr>
        <w:tblStyle w:val="Grilledutableau"/>
        <w:tblW w:w="0" w:type="auto"/>
        <w:tblLook w:val="04A0" w:firstRow="1" w:lastRow="0" w:firstColumn="1" w:lastColumn="0" w:noHBand="0" w:noVBand="1"/>
      </w:tblPr>
      <w:tblGrid>
        <w:gridCol w:w="9062"/>
      </w:tblGrid>
      <w:tr w:rsidR="00BC6D5E" w14:paraId="500CC0BE" w14:textId="77777777" w:rsidTr="00BC6D5E">
        <w:tc>
          <w:tcPr>
            <w:tcW w:w="9062" w:type="dxa"/>
          </w:tcPr>
          <w:p w14:paraId="37DD0623" w14:textId="77777777" w:rsidR="00BC6D5E" w:rsidRDefault="00BC6D5E" w:rsidP="00BC6D5E">
            <w:pPr>
              <w:rPr>
                <w:lang w:val="fr-FR"/>
              </w:rPr>
            </w:pPr>
            <w:r w:rsidRPr="00BC6D5E">
              <w:rPr>
                <w:lang w:val="fr-FR"/>
              </w:rPr>
              <w:t xml:space="preserve">La </w:t>
            </w:r>
            <w:r w:rsidRPr="00BC6D5E">
              <w:rPr>
                <w:b/>
                <w:bCs/>
                <w:lang w:val="fr-FR"/>
              </w:rPr>
              <w:t>preuve électronique</w:t>
            </w:r>
            <w:r w:rsidRPr="00BC6D5E">
              <w:rPr>
                <w:lang w:val="fr-FR"/>
              </w:rPr>
              <w:t xml:space="preserve"> est cruciale dans les litiges modernes, notamment pour les contrats numériques. Elle permet d’établir des faits grâce à des supports numériques (e-mails, fichiers, signatures électroniques). Pour être recevable en justice, elle doit répondre à trois exigences : </w:t>
            </w:r>
            <w:r w:rsidRPr="00BC6D5E">
              <w:rPr>
                <w:b/>
                <w:bCs/>
                <w:lang w:val="fr-FR"/>
              </w:rPr>
              <w:t>fiabilité</w:t>
            </w:r>
            <w:r w:rsidRPr="00BC6D5E">
              <w:rPr>
                <w:lang w:val="fr-FR"/>
              </w:rPr>
              <w:t xml:space="preserve"> (garantir l'intégrité du document), </w:t>
            </w:r>
            <w:r w:rsidRPr="00BC6D5E">
              <w:rPr>
                <w:b/>
                <w:bCs/>
                <w:lang w:val="fr-FR"/>
              </w:rPr>
              <w:t>authenticité</w:t>
            </w:r>
            <w:r w:rsidRPr="00BC6D5E">
              <w:rPr>
                <w:lang w:val="fr-FR"/>
              </w:rPr>
              <w:t xml:space="preserve"> (prouver l'origine de la preuve) et </w:t>
            </w:r>
            <w:r w:rsidRPr="00BC6D5E">
              <w:rPr>
                <w:b/>
                <w:bCs/>
                <w:lang w:val="fr-FR"/>
              </w:rPr>
              <w:t>admissibilité</w:t>
            </w:r>
            <w:r w:rsidRPr="00BC6D5E">
              <w:rPr>
                <w:lang w:val="fr-FR"/>
              </w:rPr>
              <w:t xml:space="preserve"> (conformité à l’article 1366 du Code civil). Un exemple montre qu'un contrat de livraison signé électroniquement peut être contesté mais validé grâce à des logs et des certificats de signature prouvant son existence et son intégrité.</w:t>
            </w:r>
          </w:p>
          <w:p w14:paraId="49325E8F" w14:textId="77777777" w:rsidR="00BC6D5E" w:rsidRPr="00BC6D5E" w:rsidRDefault="00BC6D5E" w:rsidP="00BC6D5E">
            <w:pPr>
              <w:rPr>
                <w:lang w:val="fr-FR"/>
              </w:rPr>
            </w:pPr>
          </w:p>
          <w:p w14:paraId="3541347F" w14:textId="77777777" w:rsidR="00BC6D5E" w:rsidRDefault="00BC6D5E" w:rsidP="00BC6D5E">
            <w:pPr>
              <w:rPr>
                <w:lang w:val="fr-FR"/>
              </w:rPr>
            </w:pPr>
            <w:r w:rsidRPr="00BC6D5E">
              <w:rPr>
                <w:lang w:val="fr-FR"/>
              </w:rPr>
              <w:t xml:space="preserve">Le </w:t>
            </w:r>
            <w:r w:rsidRPr="00BC6D5E">
              <w:rPr>
                <w:b/>
                <w:bCs/>
                <w:lang w:val="fr-FR"/>
              </w:rPr>
              <w:t>contrat de vente électronique</w:t>
            </w:r>
            <w:r w:rsidRPr="00BC6D5E">
              <w:rPr>
                <w:lang w:val="fr-FR"/>
              </w:rPr>
              <w:t xml:space="preserve"> suit les mêmes règles que les contrats traditionnels, mais est adapté aux canaux numériques. Le vendeur doit fournir des </w:t>
            </w:r>
            <w:r w:rsidRPr="00BC6D5E">
              <w:rPr>
                <w:b/>
                <w:bCs/>
                <w:lang w:val="fr-FR"/>
              </w:rPr>
              <w:t>informations préalables</w:t>
            </w:r>
            <w:r w:rsidRPr="00BC6D5E">
              <w:rPr>
                <w:lang w:val="fr-FR"/>
              </w:rPr>
              <w:t xml:space="preserve"> claires sur le produit ou service, et le consommateur bénéficie d’un </w:t>
            </w:r>
            <w:r w:rsidRPr="00BC6D5E">
              <w:rPr>
                <w:b/>
                <w:bCs/>
                <w:lang w:val="fr-FR"/>
              </w:rPr>
              <w:t>droit de rétractation</w:t>
            </w:r>
            <w:r w:rsidRPr="00BC6D5E">
              <w:rPr>
                <w:lang w:val="fr-FR"/>
              </w:rPr>
              <w:t xml:space="preserve"> de 14 jours (article L221-18 du Code de la consommation). La </w:t>
            </w:r>
            <w:r w:rsidRPr="00BC6D5E">
              <w:rPr>
                <w:b/>
                <w:bCs/>
                <w:lang w:val="fr-FR"/>
              </w:rPr>
              <w:t>preuve du consentement</w:t>
            </w:r>
            <w:r w:rsidRPr="00BC6D5E">
              <w:rPr>
                <w:lang w:val="fr-FR"/>
              </w:rPr>
              <w:t xml:space="preserve"> peut être un clic ou une signature électronique. Dans un exemple, un consommateur insatisfait d’un casque de réalité virtuelle et d’un abonnement exerce son droit de rétractation. L’entreprise accepte le retour du matériel mais ne rembourse pas entièrement l’abonnement, car une clause stipule que les services numériques déjà utilisés ne sont pas remboursables.</w:t>
            </w:r>
          </w:p>
          <w:p w14:paraId="5504081C" w14:textId="77777777" w:rsidR="00BC6D5E" w:rsidRPr="00BC6D5E" w:rsidRDefault="00BC6D5E" w:rsidP="00BC6D5E">
            <w:pPr>
              <w:rPr>
                <w:lang w:val="fr-FR"/>
              </w:rPr>
            </w:pPr>
          </w:p>
          <w:p w14:paraId="2187C66D" w14:textId="77777777" w:rsidR="00BC6D5E" w:rsidRDefault="00BC6D5E" w:rsidP="00BC6D5E">
            <w:pPr>
              <w:rPr>
                <w:lang w:val="fr-FR"/>
              </w:rPr>
            </w:pPr>
            <w:r w:rsidRPr="00BC6D5E">
              <w:rPr>
                <w:lang w:val="fr-FR"/>
              </w:rPr>
              <w:t xml:space="preserve">Le </w:t>
            </w:r>
            <w:r w:rsidRPr="00BC6D5E">
              <w:rPr>
                <w:b/>
                <w:bCs/>
                <w:lang w:val="fr-FR"/>
              </w:rPr>
              <w:t>contrat de prestations de services numériques</w:t>
            </w:r>
            <w:r w:rsidRPr="00BC6D5E">
              <w:rPr>
                <w:lang w:val="fr-FR"/>
              </w:rPr>
              <w:t xml:space="preserve"> concerne des services technologiques (hébergement, maintenance). Il se distingue par deux types d’obligations : l’</w:t>
            </w:r>
            <w:r w:rsidRPr="00BC6D5E">
              <w:rPr>
                <w:b/>
                <w:bCs/>
                <w:lang w:val="fr-FR"/>
              </w:rPr>
              <w:t>obligation de résultat</w:t>
            </w:r>
            <w:r w:rsidRPr="00BC6D5E">
              <w:rPr>
                <w:lang w:val="fr-FR"/>
              </w:rPr>
              <w:t xml:space="preserve"> (atteindre un résultat précis, comme une disponibilité de serveurs à 99,9 %) et l’</w:t>
            </w:r>
            <w:r w:rsidRPr="00BC6D5E">
              <w:rPr>
                <w:b/>
                <w:bCs/>
                <w:lang w:val="fr-FR"/>
              </w:rPr>
              <w:t>obligation de moyens</w:t>
            </w:r>
            <w:r w:rsidRPr="00BC6D5E">
              <w:rPr>
                <w:lang w:val="fr-FR"/>
              </w:rPr>
              <w:t xml:space="preserve"> (fournir des efforts raisonnables pour éviter des incidents). Les </w:t>
            </w:r>
            <w:r w:rsidRPr="00BC6D5E">
              <w:rPr>
                <w:b/>
                <w:bCs/>
                <w:lang w:val="fr-FR"/>
              </w:rPr>
              <w:t>clauses de confidentialité</w:t>
            </w:r>
            <w:r w:rsidRPr="00BC6D5E">
              <w:rPr>
                <w:lang w:val="fr-FR"/>
              </w:rPr>
              <w:t xml:space="preserve"> sont également centrales, protégeant les données sensibles échangées entre les parties. Dans un exemple, une start-up subit une attaque DDoS entraînant l'indisponibilité des serveurs et la fuite de données confidentielles. Le prestataire est tenu pour responsable du non-respect de l’obligation de résultat (serveurs indisponibles) mais non de l’attaque elle-même, car il a respecté son obligation de moyens pour tenter de contrer l'incident. La start-up obtient des dommages-intérêts pour la perte de clients et la fuite des données.</w:t>
            </w:r>
          </w:p>
          <w:p w14:paraId="29EAEAD5" w14:textId="77777777" w:rsidR="00BC6D5E" w:rsidRPr="00BC6D5E" w:rsidRDefault="00BC6D5E" w:rsidP="00BC6D5E">
            <w:pPr>
              <w:rPr>
                <w:lang w:val="fr-FR"/>
              </w:rPr>
            </w:pPr>
          </w:p>
          <w:p w14:paraId="70D418B7" w14:textId="77777777" w:rsidR="00BC6D5E" w:rsidRPr="00BC6D5E" w:rsidRDefault="00BC6D5E" w:rsidP="00BC6D5E">
            <w:pPr>
              <w:rPr>
                <w:lang w:val="fr-FR"/>
              </w:rPr>
            </w:pPr>
            <w:r w:rsidRPr="00BC6D5E">
              <w:rPr>
                <w:lang w:val="fr-FR"/>
              </w:rPr>
              <w:t>En conclusion, ces exemples montrent l’importance d’une bonne rédaction des contrats numériques, tant pour le vendeur ou prestataire que pour le consommateur ou client. Ils illustrent les enjeux liés à la protection des parties contractantes et des données dans un environnement numérique, tout en démontrant la nécessité d'anticiper les risques de cyberattaques et d’interruptions de service.</w:t>
            </w:r>
          </w:p>
          <w:p w14:paraId="4D83B03C" w14:textId="77777777" w:rsidR="00BC6D5E" w:rsidRDefault="00BC6D5E" w:rsidP="00082514"/>
        </w:tc>
      </w:tr>
    </w:tbl>
    <w:p w14:paraId="5EB8A117" w14:textId="77777777" w:rsidR="00BC6D5E" w:rsidRPr="00082514" w:rsidRDefault="00BC6D5E" w:rsidP="00082514"/>
    <w:p w14:paraId="0D7CE35B" w14:textId="77777777" w:rsidR="00082514" w:rsidRPr="00082514" w:rsidRDefault="00082514" w:rsidP="00082514">
      <w:pPr>
        <w:pStyle w:val="Sansinterligne"/>
      </w:pPr>
    </w:p>
    <w:p w14:paraId="49302256" w14:textId="2FE87E69" w:rsidR="000A1FFF" w:rsidRDefault="0057766D" w:rsidP="00BC6D5E">
      <w:pPr>
        <w:pStyle w:val="Titre1"/>
      </w:pPr>
      <w:bookmarkStart w:id="20" w:name="_Toc177715591"/>
      <w:r>
        <w:t>Exercice 1</w:t>
      </w:r>
      <w:bookmarkEnd w:id="20"/>
    </w:p>
    <w:p w14:paraId="277023CD" w14:textId="77777777" w:rsidR="0057766D" w:rsidRDefault="0057766D" w:rsidP="0057766D">
      <w:pPr>
        <w:pStyle w:val="Sansinterligne"/>
      </w:pPr>
    </w:p>
    <w:p w14:paraId="17978EBB" w14:textId="315AEEC1" w:rsidR="0057766D" w:rsidRDefault="007E7B6C" w:rsidP="007E7B6C">
      <w:pPr>
        <w:pStyle w:val="Sansinterligne"/>
        <w:jc w:val="center"/>
      </w:pPr>
      <w:r w:rsidRPr="007E7B6C">
        <w:rPr>
          <w:noProof/>
        </w:rPr>
        <w:drawing>
          <wp:inline distT="0" distB="0" distL="0" distR="0" wp14:anchorId="08862C85" wp14:editId="399445CD">
            <wp:extent cx="4356366" cy="1608667"/>
            <wp:effectExtent l="0" t="0" r="6350" b="0"/>
            <wp:docPr id="7693951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95196" name=""/>
                    <pic:cNvPicPr/>
                  </pic:nvPicPr>
                  <pic:blipFill>
                    <a:blip r:embed="rId10"/>
                    <a:stretch>
                      <a:fillRect/>
                    </a:stretch>
                  </pic:blipFill>
                  <pic:spPr>
                    <a:xfrm>
                      <a:off x="0" y="0"/>
                      <a:ext cx="4390652" cy="1621328"/>
                    </a:xfrm>
                    <a:prstGeom prst="rect">
                      <a:avLst/>
                    </a:prstGeom>
                  </pic:spPr>
                </pic:pic>
              </a:graphicData>
            </a:graphic>
          </wp:inline>
        </w:drawing>
      </w:r>
    </w:p>
    <w:p w14:paraId="5EC4AADB" w14:textId="2BC1C8A3" w:rsidR="0057766D" w:rsidRDefault="0057766D" w:rsidP="0057766D">
      <w:pPr>
        <w:pStyle w:val="Sansinterligne"/>
      </w:pPr>
    </w:p>
    <w:p w14:paraId="06F8542F" w14:textId="443AD534" w:rsidR="0057766D" w:rsidRDefault="0057766D" w:rsidP="0057766D">
      <w:pPr>
        <w:pStyle w:val="Sansinterligne"/>
      </w:pPr>
    </w:p>
    <w:p w14:paraId="04E356AE" w14:textId="2F341CCD" w:rsidR="0057766D" w:rsidRDefault="007E7B6C" w:rsidP="007E7B6C">
      <w:pPr>
        <w:pStyle w:val="Sansinterligne"/>
        <w:jc w:val="center"/>
      </w:pPr>
      <w:r w:rsidRPr="007E7B6C">
        <w:rPr>
          <w:noProof/>
        </w:rPr>
        <w:drawing>
          <wp:inline distT="0" distB="0" distL="0" distR="0" wp14:anchorId="7D41A150" wp14:editId="7F084FB4">
            <wp:extent cx="4563533" cy="1877326"/>
            <wp:effectExtent l="0" t="0" r="8890" b="8890"/>
            <wp:docPr id="14994877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87734" name=""/>
                    <pic:cNvPicPr/>
                  </pic:nvPicPr>
                  <pic:blipFill>
                    <a:blip r:embed="rId11"/>
                    <a:stretch>
                      <a:fillRect/>
                    </a:stretch>
                  </pic:blipFill>
                  <pic:spPr>
                    <a:xfrm>
                      <a:off x="0" y="0"/>
                      <a:ext cx="4583763" cy="1885648"/>
                    </a:xfrm>
                    <a:prstGeom prst="rect">
                      <a:avLst/>
                    </a:prstGeom>
                  </pic:spPr>
                </pic:pic>
              </a:graphicData>
            </a:graphic>
          </wp:inline>
        </w:drawing>
      </w:r>
    </w:p>
    <w:p w14:paraId="36E5A712" w14:textId="50F3CFD0" w:rsidR="007E7B6C" w:rsidRDefault="007E7B6C" w:rsidP="007E7B6C">
      <w:pPr>
        <w:pStyle w:val="Sansinterligne"/>
        <w:jc w:val="center"/>
      </w:pPr>
      <w:r w:rsidRPr="007E7B6C">
        <w:rPr>
          <w:noProof/>
        </w:rPr>
        <w:drawing>
          <wp:inline distT="0" distB="0" distL="0" distR="0" wp14:anchorId="34782D2A" wp14:editId="0EFD68D6">
            <wp:extent cx="4557755" cy="2870200"/>
            <wp:effectExtent l="0" t="0" r="0" b="6350"/>
            <wp:docPr id="19369695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69573" name=""/>
                    <pic:cNvPicPr/>
                  </pic:nvPicPr>
                  <pic:blipFill>
                    <a:blip r:embed="rId12"/>
                    <a:stretch>
                      <a:fillRect/>
                    </a:stretch>
                  </pic:blipFill>
                  <pic:spPr>
                    <a:xfrm>
                      <a:off x="0" y="0"/>
                      <a:ext cx="4562778" cy="2873363"/>
                    </a:xfrm>
                    <a:prstGeom prst="rect">
                      <a:avLst/>
                    </a:prstGeom>
                  </pic:spPr>
                </pic:pic>
              </a:graphicData>
            </a:graphic>
          </wp:inline>
        </w:drawing>
      </w:r>
    </w:p>
    <w:p w14:paraId="10E57F93" w14:textId="5E97EF4E" w:rsidR="007E7B6C" w:rsidRDefault="007E7B6C" w:rsidP="007E7B6C">
      <w:pPr>
        <w:pStyle w:val="Sansinterligne"/>
        <w:jc w:val="center"/>
      </w:pPr>
      <w:r w:rsidRPr="007E7B6C">
        <w:rPr>
          <w:noProof/>
        </w:rPr>
        <w:lastRenderedPageBreak/>
        <w:drawing>
          <wp:inline distT="0" distB="0" distL="0" distR="0" wp14:anchorId="05C477C7" wp14:editId="781243E1">
            <wp:extent cx="4770967" cy="1339994"/>
            <wp:effectExtent l="0" t="0" r="0" b="0"/>
            <wp:docPr id="14551759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75932" name=""/>
                    <pic:cNvPicPr/>
                  </pic:nvPicPr>
                  <pic:blipFill>
                    <a:blip r:embed="rId13"/>
                    <a:stretch>
                      <a:fillRect/>
                    </a:stretch>
                  </pic:blipFill>
                  <pic:spPr>
                    <a:xfrm>
                      <a:off x="0" y="0"/>
                      <a:ext cx="4795437" cy="1346867"/>
                    </a:xfrm>
                    <a:prstGeom prst="rect">
                      <a:avLst/>
                    </a:prstGeom>
                  </pic:spPr>
                </pic:pic>
              </a:graphicData>
            </a:graphic>
          </wp:inline>
        </w:drawing>
      </w:r>
    </w:p>
    <w:p w14:paraId="279A16E3" w14:textId="77777777" w:rsidR="007E7B6C" w:rsidRDefault="007E7B6C" w:rsidP="007E7B6C">
      <w:pPr>
        <w:pStyle w:val="Sansinterligne"/>
        <w:jc w:val="center"/>
      </w:pPr>
    </w:p>
    <w:p w14:paraId="4D39530D" w14:textId="6DFEDDD3" w:rsidR="007E7B6C" w:rsidRDefault="007E7B6C" w:rsidP="00BC6D5E">
      <w:pPr>
        <w:pStyle w:val="Titre1"/>
      </w:pPr>
      <w:bookmarkStart w:id="21" w:name="_Toc177715592"/>
      <w:r>
        <w:t>Exercice 2</w:t>
      </w:r>
      <w:bookmarkEnd w:id="21"/>
    </w:p>
    <w:p w14:paraId="0DAEEBBA" w14:textId="77777777" w:rsidR="007E7B6C" w:rsidRDefault="007E7B6C" w:rsidP="007E7B6C">
      <w:pPr>
        <w:pStyle w:val="Sansinterligne"/>
      </w:pPr>
    </w:p>
    <w:p w14:paraId="1280F04E" w14:textId="73429A88" w:rsidR="007E7B6C" w:rsidRDefault="007E7B6C" w:rsidP="007E7B6C">
      <w:pPr>
        <w:pStyle w:val="Sansinterligne"/>
        <w:jc w:val="center"/>
      </w:pPr>
      <w:r w:rsidRPr="007E7B6C">
        <w:rPr>
          <w:noProof/>
        </w:rPr>
        <w:drawing>
          <wp:inline distT="0" distB="0" distL="0" distR="0" wp14:anchorId="5D2F38B5" wp14:editId="12B15C16">
            <wp:extent cx="4232487" cy="1103377"/>
            <wp:effectExtent l="0" t="0" r="0" b="1905"/>
            <wp:docPr id="9065424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42461" name=""/>
                    <pic:cNvPicPr/>
                  </pic:nvPicPr>
                  <pic:blipFill>
                    <a:blip r:embed="rId14"/>
                    <a:stretch>
                      <a:fillRect/>
                    </a:stretch>
                  </pic:blipFill>
                  <pic:spPr>
                    <a:xfrm>
                      <a:off x="0" y="0"/>
                      <a:ext cx="4254348" cy="1109076"/>
                    </a:xfrm>
                    <a:prstGeom prst="rect">
                      <a:avLst/>
                    </a:prstGeom>
                  </pic:spPr>
                </pic:pic>
              </a:graphicData>
            </a:graphic>
          </wp:inline>
        </w:drawing>
      </w:r>
    </w:p>
    <w:p w14:paraId="11D32DD2" w14:textId="3BE1DCDD" w:rsidR="007E7B6C" w:rsidRDefault="007E7B6C" w:rsidP="007E7B6C">
      <w:pPr>
        <w:pStyle w:val="Sansinterligne"/>
        <w:jc w:val="center"/>
      </w:pPr>
      <w:r w:rsidRPr="007E7B6C">
        <w:rPr>
          <w:noProof/>
        </w:rPr>
        <w:drawing>
          <wp:inline distT="0" distB="0" distL="0" distR="0" wp14:anchorId="62E2EA1E" wp14:editId="277CA4D4">
            <wp:extent cx="4339167" cy="2148060"/>
            <wp:effectExtent l="0" t="0" r="4445" b="5080"/>
            <wp:docPr id="19418219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21996" name=""/>
                    <pic:cNvPicPr/>
                  </pic:nvPicPr>
                  <pic:blipFill>
                    <a:blip r:embed="rId15"/>
                    <a:stretch>
                      <a:fillRect/>
                    </a:stretch>
                  </pic:blipFill>
                  <pic:spPr>
                    <a:xfrm>
                      <a:off x="0" y="0"/>
                      <a:ext cx="4355972" cy="2156379"/>
                    </a:xfrm>
                    <a:prstGeom prst="rect">
                      <a:avLst/>
                    </a:prstGeom>
                  </pic:spPr>
                </pic:pic>
              </a:graphicData>
            </a:graphic>
          </wp:inline>
        </w:drawing>
      </w:r>
    </w:p>
    <w:p w14:paraId="78AB910D" w14:textId="48A2DC3E" w:rsidR="007E7B6C" w:rsidRDefault="007E7B6C" w:rsidP="007E7B6C">
      <w:pPr>
        <w:pStyle w:val="Sansinterligne"/>
        <w:jc w:val="center"/>
      </w:pPr>
      <w:r w:rsidRPr="007E7B6C">
        <w:rPr>
          <w:noProof/>
        </w:rPr>
        <w:drawing>
          <wp:inline distT="0" distB="0" distL="0" distR="0" wp14:anchorId="2AE800EE" wp14:editId="3D7C7B46">
            <wp:extent cx="4394200" cy="1053019"/>
            <wp:effectExtent l="0" t="0" r="6350" b="0"/>
            <wp:docPr id="11009970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97001" name=""/>
                    <pic:cNvPicPr/>
                  </pic:nvPicPr>
                  <pic:blipFill>
                    <a:blip r:embed="rId16"/>
                    <a:stretch>
                      <a:fillRect/>
                    </a:stretch>
                  </pic:blipFill>
                  <pic:spPr>
                    <a:xfrm>
                      <a:off x="0" y="0"/>
                      <a:ext cx="4438354" cy="1063600"/>
                    </a:xfrm>
                    <a:prstGeom prst="rect">
                      <a:avLst/>
                    </a:prstGeom>
                  </pic:spPr>
                </pic:pic>
              </a:graphicData>
            </a:graphic>
          </wp:inline>
        </w:drawing>
      </w:r>
    </w:p>
    <w:p w14:paraId="58A05DEC" w14:textId="679A5D31" w:rsidR="007E7B6C" w:rsidRDefault="007E7B6C" w:rsidP="007E7B6C">
      <w:pPr>
        <w:pStyle w:val="Sansinterligne"/>
        <w:jc w:val="center"/>
      </w:pPr>
      <w:r w:rsidRPr="007E7B6C">
        <w:rPr>
          <w:noProof/>
        </w:rPr>
        <w:drawing>
          <wp:inline distT="0" distB="0" distL="0" distR="0" wp14:anchorId="27F60FD9" wp14:editId="53C8C9B1">
            <wp:extent cx="4373033" cy="1483708"/>
            <wp:effectExtent l="0" t="0" r="8890" b="2540"/>
            <wp:docPr id="5757053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05389" name=""/>
                    <pic:cNvPicPr/>
                  </pic:nvPicPr>
                  <pic:blipFill>
                    <a:blip r:embed="rId17"/>
                    <a:stretch>
                      <a:fillRect/>
                    </a:stretch>
                  </pic:blipFill>
                  <pic:spPr>
                    <a:xfrm>
                      <a:off x="0" y="0"/>
                      <a:ext cx="4395362" cy="1491284"/>
                    </a:xfrm>
                    <a:prstGeom prst="rect">
                      <a:avLst/>
                    </a:prstGeom>
                  </pic:spPr>
                </pic:pic>
              </a:graphicData>
            </a:graphic>
          </wp:inline>
        </w:drawing>
      </w:r>
    </w:p>
    <w:p w14:paraId="4F2BEAE9" w14:textId="77777777" w:rsidR="007E7B6C" w:rsidRDefault="007E7B6C" w:rsidP="007E7B6C">
      <w:pPr>
        <w:pStyle w:val="Sansinterligne"/>
        <w:jc w:val="center"/>
      </w:pPr>
    </w:p>
    <w:p w14:paraId="000F8B36" w14:textId="2D939DD6" w:rsidR="007E7B6C" w:rsidRDefault="007E7B6C" w:rsidP="007E7B6C">
      <w:pPr>
        <w:pStyle w:val="Sansinterligne"/>
        <w:jc w:val="center"/>
      </w:pPr>
      <w:r w:rsidRPr="007E7B6C">
        <w:rPr>
          <w:noProof/>
        </w:rPr>
        <w:drawing>
          <wp:inline distT="0" distB="0" distL="0" distR="0" wp14:anchorId="131AD650" wp14:editId="6176016E">
            <wp:extent cx="3539067" cy="447454"/>
            <wp:effectExtent l="0" t="0" r="4445" b="0"/>
            <wp:docPr id="18517101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10169" name=""/>
                    <pic:cNvPicPr/>
                  </pic:nvPicPr>
                  <pic:blipFill>
                    <a:blip r:embed="rId18"/>
                    <a:stretch>
                      <a:fillRect/>
                    </a:stretch>
                  </pic:blipFill>
                  <pic:spPr>
                    <a:xfrm>
                      <a:off x="0" y="0"/>
                      <a:ext cx="3671291" cy="464171"/>
                    </a:xfrm>
                    <a:prstGeom prst="rect">
                      <a:avLst/>
                    </a:prstGeom>
                  </pic:spPr>
                </pic:pic>
              </a:graphicData>
            </a:graphic>
          </wp:inline>
        </w:drawing>
      </w:r>
    </w:p>
    <w:p w14:paraId="0AEDE794" w14:textId="77777777" w:rsidR="007E7B6C" w:rsidRDefault="007E7B6C" w:rsidP="007E7B6C">
      <w:pPr>
        <w:pStyle w:val="Sansinterligne"/>
        <w:jc w:val="center"/>
      </w:pPr>
    </w:p>
    <w:p w14:paraId="40E430E9" w14:textId="47429DE0" w:rsidR="007E7B6C" w:rsidRDefault="007E7B6C" w:rsidP="007E7B6C">
      <w:pPr>
        <w:pStyle w:val="Sansinterligne"/>
        <w:jc w:val="center"/>
      </w:pPr>
      <w:r w:rsidRPr="007E7B6C">
        <w:rPr>
          <w:noProof/>
        </w:rPr>
        <w:lastRenderedPageBreak/>
        <w:drawing>
          <wp:inline distT="0" distB="0" distL="0" distR="0" wp14:anchorId="61AF73D6" wp14:editId="014FD04E">
            <wp:extent cx="4813300" cy="2250133"/>
            <wp:effectExtent l="0" t="0" r="6350" b="0"/>
            <wp:docPr id="15049237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23741" name=""/>
                    <pic:cNvPicPr/>
                  </pic:nvPicPr>
                  <pic:blipFill>
                    <a:blip r:embed="rId19"/>
                    <a:stretch>
                      <a:fillRect/>
                    </a:stretch>
                  </pic:blipFill>
                  <pic:spPr>
                    <a:xfrm>
                      <a:off x="0" y="0"/>
                      <a:ext cx="4828141" cy="2257071"/>
                    </a:xfrm>
                    <a:prstGeom prst="rect">
                      <a:avLst/>
                    </a:prstGeom>
                  </pic:spPr>
                </pic:pic>
              </a:graphicData>
            </a:graphic>
          </wp:inline>
        </w:drawing>
      </w:r>
    </w:p>
    <w:p w14:paraId="32EF0706" w14:textId="24249C12" w:rsidR="002169BD" w:rsidRDefault="002169BD" w:rsidP="007E7B6C">
      <w:pPr>
        <w:pStyle w:val="Sansinterligne"/>
        <w:jc w:val="center"/>
      </w:pPr>
      <w:r w:rsidRPr="002169BD">
        <w:rPr>
          <w:noProof/>
        </w:rPr>
        <w:drawing>
          <wp:inline distT="0" distB="0" distL="0" distR="0" wp14:anchorId="2B842918" wp14:editId="48BD256B">
            <wp:extent cx="4894273" cy="2239433"/>
            <wp:effectExtent l="0" t="0" r="1905" b="8890"/>
            <wp:docPr id="1064203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03731" name=""/>
                    <pic:cNvPicPr/>
                  </pic:nvPicPr>
                  <pic:blipFill>
                    <a:blip r:embed="rId20"/>
                    <a:stretch>
                      <a:fillRect/>
                    </a:stretch>
                  </pic:blipFill>
                  <pic:spPr>
                    <a:xfrm>
                      <a:off x="0" y="0"/>
                      <a:ext cx="4917542" cy="2250080"/>
                    </a:xfrm>
                    <a:prstGeom prst="rect">
                      <a:avLst/>
                    </a:prstGeom>
                  </pic:spPr>
                </pic:pic>
              </a:graphicData>
            </a:graphic>
          </wp:inline>
        </w:drawing>
      </w:r>
    </w:p>
    <w:p w14:paraId="55B6A6F9" w14:textId="38234812" w:rsidR="002169BD" w:rsidRPr="007E7B6C" w:rsidRDefault="002169BD" w:rsidP="007E7B6C">
      <w:pPr>
        <w:pStyle w:val="Sansinterligne"/>
        <w:jc w:val="center"/>
      </w:pPr>
      <w:r w:rsidRPr="002169BD">
        <w:rPr>
          <w:noProof/>
        </w:rPr>
        <w:drawing>
          <wp:inline distT="0" distB="0" distL="0" distR="0" wp14:anchorId="3C90B86D" wp14:editId="42164BEA">
            <wp:extent cx="4834467" cy="1309868"/>
            <wp:effectExtent l="0" t="0" r="4445" b="5080"/>
            <wp:docPr id="7639181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18129" name=""/>
                    <pic:cNvPicPr/>
                  </pic:nvPicPr>
                  <pic:blipFill>
                    <a:blip r:embed="rId21"/>
                    <a:stretch>
                      <a:fillRect/>
                    </a:stretch>
                  </pic:blipFill>
                  <pic:spPr>
                    <a:xfrm>
                      <a:off x="0" y="0"/>
                      <a:ext cx="4862214" cy="1317386"/>
                    </a:xfrm>
                    <a:prstGeom prst="rect">
                      <a:avLst/>
                    </a:prstGeom>
                  </pic:spPr>
                </pic:pic>
              </a:graphicData>
            </a:graphic>
          </wp:inline>
        </w:drawing>
      </w:r>
    </w:p>
    <w:sectPr w:rsidR="002169BD" w:rsidRPr="007E7B6C" w:rsidSect="006F7BB0">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0C124C" w14:textId="77777777" w:rsidR="007B42F5" w:rsidRDefault="007B42F5" w:rsidP="00953899">
      <w:r>
        <w:separator/>
      </w:r>
    </w:p>
  </w:endnote>
  <w:endnote w:type="continuationSeparator" w:id="0">
    <w:p w14:paraId="41D32596" w14:textId="77777777" w:rsidR="007B42F5" w:rsidRDefault="007B42F5" w:rsidP="00953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5DD857" w14:textId="77777777" w:rsidR="007B42F5" w:rsidRDefault="007B42F5" w:rsidP="00953899">
      <w:r>
        <w:separator/>
      </w:r>
    </w:p>
  </w:footnote>
  <w:footnote w:type="continuationSeparator" w:id="0">
    <w:p w14:paraId="31C46C72" w14:textId="77777777" w:rsidR="007B42F5" w:rsidRDefault="007B42F5" w:rsidP="009538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315FD"/>
    <w:multiLevelType w:val="hybridMultilevel"/>
    <w:tmpl w:val="9594DEE6"/>
    <w:lvl w:ilvl="0" w:tplc="42483A8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4B5C02"/>
    <w:multiLevelType w:val="multilevel"/>
    <w:tmpl w:val="1510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76D90"/>
    <w:multiLevelType w:val="multilevel"/>
    <w:tmpl w:val="164A7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CE4589"/>
    <w:multiLevelType w:val="hybridMultilevel"/>
    <w:tmpl w:val="C34013FE"/>
    <w:lvl w:ilvl="0" w:tplc="A82ADBA6">
      <w:start w:val="1"/>
      <w:numFmt w:val="decimal"/>
      <w:pStyle w:val="Titre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2225897"/>
    <w:multiLevelType w:val="multilevel"/>
    <w:tmpl w:val="AF4A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F00AF"/>
    <w:multiLevelType w:val="multilevel"/>
    <w:tmpl w:val="E662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B17D6E"/>
    <w:multiLevelType w:val="hybridMultilevel"/>
    <w:tmpl w:val="76B209CE"/>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1E03A8"/>
    <w:multiLevelType w:val="multilevel"/>
    <w:tmpl w:val="EAEAA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252B45"/>
    <w:multiLevelType w:val="multilevel"/>
    <w:tmpl w:val="7074B0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C642E6"/>
    <w:multiLevelType w:val="multilevel"/>
    <w:tmpl w:val="4DAAF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FA1FB1"/>
    <w:multiLevelType w:val="multilevel"/>
    <w:tmpl w:val="F592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8E09FF"/>
    <w:multiLevelType w:val="multilevel"/>
    <w:tmpl w:val="45B8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CE2B26"/>
    <w:multiLevelType w:val="multilevel"/>
    <w:tmpl w:val="34D08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8B2419"/>
    <w:multiLevelType w:val="multilevel"/>
    <w:tmpl w:val="217AA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FD561F"/>
    <w:multiLevelType w:val="multilevel"/>
    <w:tmpl w:val="5E8C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C303C3"/>
    <w:multiLevelType w:val="multilevel"/>
    <w:tmpl w:val="F8F0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8D4D04"/>
    <w:multiLevelType w:val="multilevel"/>
    <w:tmpl w:val="B5C4A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BA1C87"/>
    <w:multiLevelType w:val="hybridMultilevel"/>
    <w:tmpl w:val="422E5F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DC665FA"/>
    <w:multiLevelType w:val="multilevel"/>
    <w:tmpl w:val="03181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971DC4"/>
    <w:multiLevelType w:val="multilevel"/>
    <w:tmpl w:val="25C8E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8A1664"/>
    <w:multiLevelType w:val="multilevel"/>
    <w:tmpl w:val="3D869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1A5A91"/>
    <w:multiLevelType w:val="multilevel"/>
    <w:tmpl w:val="7BE2F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307A77"/>
    <w:multiLevelType w:val="multilevel"/>
    <w:tmpl w:val="0786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0C1811"/>
    <w:multiLevelType w:val="multilevel"/>
    <w:tmpl w:val="0308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D43165"/>
    <w:multiLevelType w:val="multilevel"/>
    <w:tmpl w:val="6512D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4E06E7"/>
    <w:multiLevelType w:val="multilevel"/>
    <w:tmpl w:val="D86C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236BD5"/>
    <w:multiLevelType w:val="multilevel"/>
    <w:tmpl w:val="1C4617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774F0C"/>
    <w:multiLevelType w:val="multilevel"/>
    <w:tmpl w:val="8F3C77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69F1513"/>
    <w:multiLevelType w:val="multilevel"/>
    <w:tmpl w:val="5086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2A343F"/>
    <w:multiLevelType w:val="multilevel"/>
    <w:tmpl w:val="18A86A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645199"/>
    <w:multiLevelType w:val="multilevel"/>
    <w:tmpl w:val="3552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2759259">
    <w:abstractNumId w:val="17"/>
  </w:num>
  <w:num w:numId="2" w16cid:durableId="651980117">
    <w:abstractNumId w:val="6"/>
  </w:num>
  <w:num w:numId="3" w16cid:durableId="23142925">
    <w:abstractNumId w:val="3"/>
  </w:num>
  <w:num w:numId="4" w16cid:durableId="408967607">
    <w:abstractNumId w:val="0"/>
  </w:num>
  <w:num w:numId="5" w16cid:durableId="1885366409">
    <w:abstractNumId w:val="20"/>
  </w:num>
  <w:num w:numId="6" w16cid:durableId="1751343058">
    <w:abstractNumId w:val="2"/>
  </w:num>
  <w:num w:numId="7" w16cid:durableId="699548169">
    <w:abstractNumId w:val="13"/>
  </w:num>
  <w:num w:numId="8" w16cid:durableId="1874727785">
    <w:abstractNumId w:val="10"/>
  </w:num>
  <w:num w:numId="9" w16cid:durableId="2140611979">
    <w:abstractNumId w:val="18"/>
  </w:num>
  <w:num w:numId="10" w16cid:durableId="404499583">
    <w:abstractNumId w:val="3"/>
    <w:lvlOverride w:ilvl="0">
      <w:startOverride w:val="1"/>
    </w:lvlOverride>
  </w:num>
  <w:num w:numId="11" w16cid:durableId="1906331385">
    <w:abstractNumId w:val="29"/>
  </w:num>
  <w:num w:numId="12" w16cid:durableId="446314683">
    <w:abstractNumId w:val="28"/>
  </w:num>
  <w:num w:numId="13" w16cid:durableId="421609679">
    <w:abstractNumId w:val="4"/>
  </w:num>
  <w:num w:numId="14" w16cid:durableId="829902564">
    <w:abstractNumId w:val="3"/>
    <w:lvlOverride w:ilvl="0">
      <w:startOverride w:val="1"/>
    </w:lvlOverride>
  </w:num>
  <w:num w:numId="15" w16cid:durableId="966161162">
    <w:abstractNumId w:val="24"/>
  </w:num>
  <w:num w:numId="16" w16cid:durableId="327558894">
    <w:abstractNumId w:val="25"/>
  </w:num>
  <w:num w:numId="17" w16cid:durableId="1980498330">
    <w:abstractNumId w:val="11"/>
  </w:num>
  <w:num w:numId="18" w16cid:durableId="230047855">
    <w:abstractNumId w:val="7"/>
  </w:num>
  <w:num w:numId="19" w16cid:durableId="1729259728">
    <w:abstractNumId w:val="30"/>
  </w:num>
  <w:num w:numId="20" w16cid:durableId="1948078165">
    <w:abstractNumId w:val="16"/>
  </w:num>
  <w:num w:numId="21" w16cid:durableId="995958409">
    <w:abstractNumId w:val="5"/>
  </w:num>
  <w:num w:numId="22" w16cid:durableId="1565405309">
    <w:abstractNumId w:val="8"/>
  </w:num>
  <w:num w:numId="23" w16cid:durableId="1007362531">
    <w:abstractNumId w:val="22"/>
  </w:num>
  <w:num w:numId="24" w16cid:durableId="1591426561">
    <w:abstractNumId w:val="12"/>
  </w:num>
  <w:num w:numId="25" w16cid:durableId="531892031">
    <w:abstractNumId w:val="27"/>
  </w:num>
  <w:num w:numId="26" w16cid:durableId="1581327291">
    <w:abstractNumId w:val="3"/>
    <w:lvlOverride w:ilvl="0">
      <w:startOverride w:val="1"/>
    </w:lvlOverride>
  </w:num>
  <w:num w:numId="27" w16cid:durableId="198737573">
    <w:abstractNumId w:val="14"/>
  </w:num>
  <w:num w:numId="28" w16cid:durableId="85200261">
    <w:abstractNumId w:val="23"/>
  </w:num>
  <w:num w:numId="29" w16cid:durableId="17512172">
    <w:abstractNumId w:val="26"/>
  </w:num>
  <w:num w:numId="30" w16cid:durableId="1674604469">
    <w:abstractNumId w:val="3"/>
    <w:lvlOverride w:ilvl="0">
      <w:startOverride w:val="1"/>
    </w:lvlOverride>
  </w:num>
  <w:num w:numId="31" w16cid:durableId="713195030">
    <w:abstractNumId w:val="15"/>
  </w:num>
  <w:num w:numId="32" w16cid:durableId="1502429551">
    <w:abstractNumId w:val="21"/>
  </w:num>
  <w:num w:numId="33" w16cid:durableId="822358030">
    <w:abstractNumId w:val="1"/>
  </w:num>
  <w:num w:numId="34" w16cid:durableId="363333742">
    <w:abstractNumId w:val="19"/>
  </w:num>
  <w:num w:numId="35" w16cid:durableId="174417992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33BEE"/>
    <w:rsid w:val="00082514"/>
    <w:rsid w:val="00096D6B"/>
    <w:rsid w:val="000A1FFF"/>
    <w:rsid w:val="000C12F8"/>
    <w:rsid w:val="00202B30"/>
    <w:rsid w:val="002169BD"/>
    <w:rsid w:val="002F2E02"/>
    <w:rsid w:val="003116DE"/>
    <w:rsid w:val="00326CEB"/>
    <w:rsid w:val="003575DD"/>
    <w:rsid w:val="003630A6"/>
    <w:rsid w:val="00402391"/>
    <w:rsid w:val="00420ADD"/>
    <w:rsid w:val="00472124"/>
    <w:rsid w:val="004A3569"/>
    <w:rsid w:val="005479E0"/>
    <w:rsid w:val="00575C0D"/>
    <w:rsid w:val="0057766D"/>
    <w:rsid w:val="005C6146"/>
    <w:rsid w:val="00664254"/>
    <w:rsid w:val="00683477"/>
    <w:rsid w:val="006A060D"/>
    <w:rsid w:val="006A4316"/>
    <w:rsid w:val="006F7BB0"/>
    <w:rsid w:val="00767DD8"/>
    <w:rsid w:val="00786FF1"/>
    <w:rsid w:val="007B42F5"/>
    <w:rsid w:val="007C53AC"/>
    <w:rsid w:val="007E7B6C"/>
    <w:rsid w:val="007F4912"/>
    <w:rsid w:val="00813A41"/>
    <w:rsid w:val="00861CC3"/>
    <w:rsid w:val="0089061F"/>
    <w:rsid w:val="00892FD7"/>
    <w:rsid w:val="008A6FF7"/>
    <w:rsid w:val="008D72E8"/>
    <w:rsid w:val="009409A3"/>
    <w:rsid w:val="00953899"/>
    <w:rsid w:val="009C4DB1"/>
    <w:rsid w:val="00A7428B"/>
    <w:rsid w:val="00AE1E20"/>
    <w:rsid w:val="00B11ED4"/>
    <w:rsid w:val="00BA6C34"/>
    <w:rsid w:val="00BC6D5E"/>
    <w:rsid w:val="00BD0918"/>
    <w:rsid w:val="00C36A40"/>
    <w:rsid w:val="00C42681"/>
    <w:rsid w:val="00C754D1"/>
    <w:rsid w:val="00C85C59"/>
    <w:rsid w:val="00CB19D1"/>
    <w:rsid w:val="00CB57C1"/>
    <w:rsid w:val="00CC3FBD"/>
    <w:rsid w:val="00CF07B1"/>
    <w:rsid w:val="00D81D96"/>
    <w:rsid w:val="00D8454B"/>
    <w:rsid w:val="00D91A8F"/>
    <w:rsid w:val="00DA784D"/>
    <w:rsid w:val="00E51DA6"/>
    <w:rsid w:val="00F0526D"/>
    <w:rsid w:val="00F21D11"/>
    <w:rsid w:val="00F445C4"/>
    <w:rsid w:val="00F563E2"/>
    <w:rsid w:val="00FC2BCA"/>
    <w:rsid w:val="00FD5981"/>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27AD873A-B6C4-4F48-A3E2-3F93FFF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FD7"/>
    <w:pPr>
      <w:spacing w:before="0" w:after="0" w:line="240" w:lineRule="auto"/>
    </w:pPr>
  </w:style>
  <w:style w:type="paragraph" w:styleId="Titre1">
    <w:name w:val="heading 1"/>
    <w:basedOn w:val="Normal"/>
    <w:next w:val="Normal"/>
    <w:link w:val="Titre1Car"/>
    <w:uiPriority w:val="9"/>
    <w:qFormat/>
    <w:rsid w:val="00BA6C3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BA6C34"/>
    <w:pPr>
      <w:numPr>
        <w:numId w:val="3"/>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re3">
    <w:name w:val="heading 3"/>
    <w:basedOn w:val="Normal"/>
    <w:next w:val="Normal"/>
    <w:link w:val="Titre3Car"/>
    <w:uiPriority w:val="9"/>
    <w:semiHidden/>
    <w:unhideWhenUsed/>
    <w:qFormat/>
    <w:rsid w:val="00BA6C34"/>
    <w:pPr>
      <w:pBdr>
        <w:top w:val="single" w:sz="6" w:space="2" w:color="4472C4" w:themeColor="accent1"/>
      </w:pBdr>
      <w:spacing w:before="30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BA6C34"/>
    <w:pPr>
      <w:pBdr>
        <w:top w:val="dotted" w:sz="6" w:space="2" w:color="4472C4" w:themeColor="accent1"/>
      </w:pBdr>
      <w:spacing w:before="20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outlineLvl w:val="8"/>
    </w:pPr>
    <w:rPr>
      <w:i/>
      <w:iCs/>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A6C34"/>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hd w:val="clear" w:color="auto" w:fill="D9E2F3" w:themeFill="accent1" w:themeFillTint="33"/>
    </w:rPr>
  </w:style>
  <w:style w:type="character" w:customStyle="1" w:styleId="Titre3Car">
    <w:name w:val="Titre 3 Car"/>
    <w:basedOn w:val="Policepardfaut"/>
    <w:link w:val="Titre3"/>
    <w:uiPriority w:val="9"/>
    <w:semiHidden/>
    <w:rsid w:val="00BA6C34"/>
    <w:rPr>
      <w:caps/>
      <w:color w:val="1F3763" w:themeColor="accent1" w:themeShade="7F"/>
      <w:spacing w:val="15"/>
    </w:rPr>
  </w:style>
  <w:style w:type="character" w:customStyle="1" w:styleId="Titre4Car">
    <w:name w:val="Titre 4 Car"/>
    <w:basedOn w:val="Policepardfaut"/>
    <w:link w:val="Titre4"/>
    <w:uiPriority w:val="9"/>
    <w:semiHidden/>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BA6C34"/>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BA6C34"/>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BA6C34"/>
    <w:pPr>
      <w:spacing w:after="500"/>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892FD7"/>
    <w:pPr>
      <w:spacing w:before="0"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pPr>
  </w:style>
  <w:style w:type="character" w:customStyle="1" w:styleId="PieddepageCar">
    <w:name w:val="Pied de page Car"/>
    <w:basedOn w:val="Policepardfaut"/>
    <w:link w:val="Pieddepage"/>
    <w:uiPriority w:val="99"/>
    <w:rsid w:val="00953899"/>
  </w:style>
  <w:style w:type="paragraph" w:styleId="TM1">
    <w:name w:val="toc 1"/>
    <w:basedOn w:val="Normal"/>
    <w:next w:val="Normal"/>
    <w:autoRedefine/>
    <w:uiPriority w:val="39"/>
    <w:unhideWhenUsed/>
    <w:rsid w:val="00033B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8243">
      <w:bodyDiv w:val="1"/>
      <w:marLeft w:val="0"/>
      <w:marRight w:val="0"/>
      <w:marTop w:val="0"/>
      <w:marBottom w:val="0"/>
      <w:divBdr>
        <w:top w:val="none" w:sz="0" w:space="0" w:color="auto"/>
        <w:left w:val="none" w:sz="0" w:space="0" w:color="auto"/>
        <w:bottom w:val="none" w:sz="0" w:space="0" w:color="auto"/>
        <w:right w:val="none" w:sz="0" w:space="0" w:color="auto"/>
      </w:divBdr>
    </w:div>
    <w:div w:id="178348672">
      <w:bodyDiv w:val="1"/>
      <w:marLeft w:val="0"/>
      <w:marRight w:val="0"/>
      <w:marTop w:val="0"/>
      <w:marBottom w:val="0"/>
      <w:divBdr>
        <w:top w:val="none" w:sz="0" w:space="0" w:color="auto"/>
        <w:left w:val="none" w:sz="0" w:space="0" w:color="auto"/>
        <w:bottom w:val="none" w:sz="0" w:space="0" w:color="auto"/>
        <w:right w:val="none" w:sz="0" w:space="0" w:color="auto"/>
      </w:divBdr>
    </w:div>
    <w:div w:id="205072959">
      <w:bodyDiv w:val="1"/>
      <w:marLeft w:val="0"/>
      <w:marRight w:val="0"/>
      <w:marTop w:val="0"/>
      <w:marBottom w:val="0"/>
      <w:divBdr>
        <w:top w:val="none" w:sz="0" w:space="0" w:color="auto"/>
        <w:left w:val="none" w:sz="0" w:space="0" w:color="auto"/>
        <w:bottom w:val="none" w:sz="0" w:space="0" w:color="auto"/>
        <w:right w:val="none" w:sz="0" w:space="0" w:color="auto"/>
      </w:divBdr>
    </w:div>
    <w:div w:id="205217946">
      <w:bodyDiv w:val="1"/>
      <w:marLeft w:val="0"/>
      <w:marRight w:val="0"/>
      <w:marTop w:val="0"/>
      <w:marBottom w:val="0"/>
      <w:divBdr>
        <w:top w:val="none" w:sz="0" w:space="0" w:color="auto"/>
        <w:left w:val="none" w:sz="0" w:space="0" w:color="auto"/>
        <w:bottom w:val="none" w:sz="0" w:space="0" w:color="auto"/>
        <w:right w:val="none" w:sz="0" w:space="0" w:color="auto"/>
      </w:divBdr>
    </w:div>
    <w:div w:id="284969876">
      <w:bodyDiv w:val="1"/>
      <w:marLeft w:val="0"/>
      <w:marRight w:val="0"/>
      <w:marTop w:val="0"/>
      <w:marBottom w:val="0"/>
      <w:divBdr>
        <w:top w:val="none" w:sz="0" w:space="0" w:color="auto"/>
        <w:left w:val="none" w:sz="0" w:space="0" w:color="auto"/>
        <w:bottom w:val="none" w:sz="0" w:space="0" w:color="auto"/>
        <w:right w:val="none" w:sz="0" w:space="0" w:color="auto"/>
      </w:divBdr>
    </w:div>
    <w:div w:id="408582136">
      <w:bodyDiv w:val="1"/>
      <w:marLeft w:val="0"/>
      <w:marRight w:val="0"/>
      <w:marTop w:val="0"/>
      <w:marBottom w:val="0"/>
      <w:divBdr>
        <w:top w:val="none" w:sz="0" w:space="0" w:color="auto"/>
        <w:left w:val="none" w:sz="0" w:space="0" w:color="auto"/>
        <w:bottom w:val="none" w:sz="0" w:space="0" w:color="auto"/>
        <w:right w:val="none" w:sz="0" w:space="0" w:color="auto"/>
      </w:divBdr>
    </w:div>
    <w:div w:id="408966360">
      <w:bodyDiv w:val="1"/>
      <w:marLeft w:val="0"/>
      <w:marRight w:val="0"/>
      <w:marTop w:val="0"/>
      <w:marBottom w:val="0"/>
      <w:divBdr>
        <w:top w:val="none" w:sz="0" w:space="0" w:color="auto"/>
        <w:left w:val="none" w:sz="0" w:space="0" w:color="auto"/>
        <w:bottom w:val="none" w:sz="0" w:space="0" w:color="auto"/>
        <w:right w:val="none" w:sz="0" w:space="0" w:color="auto"/>
      </w:divBdr>
    </w:div>
    <w:div w:id="441807518">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455568790">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643192899">
      <w:bodyDiv w:val="1"/>
      <w:marLeft w:val="0"/>
      <w:marRight w:val="0"/>
      <w:marTop w:val="0"/>
      <w:marBottom w:val="0"/>
      <w:divBdr>
        <w:top w:val="none" w:sz="0" w:space="0" w:color="auto"/>
        <w:left w:val="none" w:sz="0" w:space="0" w:color="auto"/>
        <w:bottom w:val="none" w:sz="0" w:space="0" w:color="auto"/>
        <w:right w:val="none" w:sz="0" w:space="0" w:color="auto"/>
      </w:divBdr>
    </w:div>
    <w:div w:id="748770019">
      <w:bodyDiv w:val="1"/>
      <w:marLeft w:val="0"/>
      <w:marRight w:val="0"/>
      <w:marTop w:val="0"/>
      <w:marBottom w:val="0"/>
      <w:divBdr>
        <w:top w:val="none" w:sz="0" w:space="0" w:color="auto"/>
        <w:left w:val="none" w:sz="0" w:space="0" w:color="auto"/>
        <w:bottom w:val="none" w:sz="0" w:space="0" w:color="auto"/>
        <w:right w:val="none" w:sz="0" w:space="0" w:color="auto"/>
      </w:divBdr>
    </w:div>
    <w:div w:id="780950418">
      <w:bodyDiv w:val="1"/>
      <w:marLeft w:val="0"/>
      <w:marRight w:val="0"/>
      <w:marTop w:val="0"/>
      <w:marBottom w:val="0"/>
      <w:divBdr>
        <w:top w:val="none" w:sz="0" w:space="0" w:color="auto"/>
        <w:left w:val="none" w:sz="0" w:space="0" w:color="auto"/>
        <w:bottom w:val="none" w:sz="0" w:space="0" w:color="auto"/>
        <w:right w:val="none" w:sz="0" w:space="0" w:color="auto"/>
      </w:divBdr>
    </w:div>
    <w:div w:id="861480838">
      <w:bodyDiv w:val="1"/>
      <w:marLeft w:val="0"/>
      <w:marRight w:val="0"/>
      <w:marTop w:val="0"/>
      <w:marBottom w:val="0"/>
      <w:divBdr>
        <w:top w:val="none" w:sz="0" w:space="0" w:color="auto"/>
        <w:left w:val="none" w:sz="0" w:space="0" w:color="auto"/>
        <w:bottom w:val="none" w:sz="0" w:space="0" w:color="auto"/>
        <w:right w:val="none" w:sz="0" w:space="0" w:color="auto"/>
      </w:divBdr>
    </w:div>
    <w:div w:id="900021873">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1038697332">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58087843">
      <w:bodyDiv w:val="1"/>
      <w:marLeft w:val="0"/>
      <w:marRight w:val="0"/>
      <w:marTop w:val="0"/>
      <w:marBottom w:val="0"/>
      <w:divBdr>
        <w:top w:val="none" w:sz="0" w:space="0" w:color="auto"/>
        <w:left w:val="none" w:sz="0" w:space="0" w:color="auto"/>
        <w:bottom w:val="none" w:sz="0" w:space="0" w:color="auto"/>
        <w:right w:val="none" w:sz="0" w:space="0" w:color="auto"/>
      </w:divBdr>
    </w:div>
    <w:div w:id="1146433777">
      <w:bodyDiv w:val="1"/>
      <w:marLeft w:val="0"/>
      <w:marRight w:val="0"/>
      <w:marTop w:val="0"/>
      <w:marBottom w:val="0"/>
      <w:divBdr>
        <w:top w:val="none" w:sz="0" w:space="0" w:color="auto"/>
        <w:left w:val="none" w:sz="0" w:space="0" w:color="auto"/>
        <w:bottom w:val="none" w:sz="0" w:space="0" w:color="auto"/>
        <w:right w:val="none" w:sz="0" w:space="0" w:color="auto"/>
      </w:divBdr>
    </w:div>
    <w:div w:id="1147212427">
      <w:bodyDiv w:val="1"/>
      <w:marLeft w:val="0"/>
      <w:marRight w:val="0"/>
      <w:marTop w:val="0"/>
      <w:marBottom w:val="0"/>
      <w:divBdr>
        <w:top w:val="none" w:sz="0" w:space="0" w:color="auto"/>
        <w:left w:val="none" w:sz="0" w:space="0" w:color="auto"/>
        <w:bottom w:val="none" w:sz="0" w:space="0" w:color="auto"/>
        <w:right w:val="none" w:sz="0" w:space="0" w:color="auto"/>
      </w:divBdr>
    </w:div>
    <w:div w:id="1174765498">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381854749">
      <w:bodyDiv w:val="1"/>
      <w:marLeft w:val="0"/>
      <w:marRight w:val="0"/>
      <w:marTop w:val="0"/>
      <w:marBottom w:val="0"/>
      <w:divBdr>
        <w:top w:val="none" w:sz="0" w:space="0" w:color="auto"/>
        <w:left w:val="none" w:sz="0" w:space="0" w:color="auto"/>
        <w:bottom w:val="none" w:sz="0" w:space="0" w:color="auto"/>
        <w:right w:val="none" w:sz="0" w:space="0" w:color="auto"/>
      </w:divBdr>
    </w:div>
    <w:div w:id="1406565156">
      <w:bodyDiv w:val="1"/>
      <w:marLeft w:val="0"/>
      <w:marRight w:val="0"/>
      <w:marTop w:val="0"/>
      <w:marBottom w:val="0"/>
      <w:divBdr>
        <w:top w:val="none" w:sz="0" w:space="0" w:color="auto"/>
        <w:left w:val="none" w:sz="0" w:space="0" w:color="auto"/>
        <w:bottom w:val="none" w:sz="0" w:space="0" w:color="auto"/>
        <w:right w:val="none" w:sz="0" w:space="0" w:color="auto"/>
      </w:divBdr>
    </w:div>
    <w:div w:id="1619601290">
      <w:bodyDiv w:val="1"/>
      <w:marLeft w:val="0"/>
      <w:marRight w:val="0"/>
      <w:marTop w:val="0"/>
      <w:marBottom w:val="0"/>
      <w:divBdr>
        <w:top w:val="none" w:sz="0" w:space="0" w:color="auto"/>
        <w:left w:val="none" w:sz="0" w:space="0" w:color="auto"/>
        <w:bottom w:val="none" w:sz="0" w:space="0" w:color="auto"/>
        <w:right w:val="none" w:sz="0" w:space="0" w:color="auto"/>
      </w:divBdr>
    </w:div>
    <w:div w:id="1662344687">
      <w:bodyDiv w:val="1"/>
      <w:marLeft w:val="0"/>
      <w:marRight w:val="0"/>
      <w:marTop w:val="0"/>
      <w:marBottom w:val="0"/>
      <w:divBdr>
        <w:top w:val="none" w:sz="0" w:space="0" w:color="auto"/>
        <w:left w:val="none" w:sz="0" w:space="0" w:color="auto"/>
        <w:bottom w:val="none" w:sz="0" w:space="0" w:color="auto"/>
        <w:right w:val="none" w:sz="0" w:space="0" w:color="auto"/>
      </w:divBdr>
    </w:div>
    <w:div w:id="1720283397">
      <w:bodyDiv w:val="1"/>
      <w:marLeft w:val="0"/>
      <w:marRight w:val="0"/>
      <w:marTop w:val="0"/>
      <w:marBottom w:val="0"/>
      <w:divBdr>
        <w:top w:val="none" w:sz="0" w:space="0" w:color="auto"/>
        <w:left w:val="none" w:sz="0" w:space="0" w:color="auto"/>
        <w:bottom w:val="none" w:sz="0" w:space="0" w:color="auto"/>
        <w:right w:val="none" w:sz="0" w:space="0" w:color="auto"/>
      </w:divBdr>
    </w:div>
    <w:div w:id="1757243913">
      <w:bodyDiv w:val="1"/>
      <w:marLeft w:val="0"/>
      <w:marRight w:val="0"/>
      <w:marTop w:val="0"/>
      <w:marBottom w:val="0"/>
      <w:divBdr>
        <w:top w:val="none" w:sz="0" w:space="0" w:color="auto"/>
        <w:left w:val="none" w:sz="0" w:space="0" w:color="auto"/>
        <w:bottom w:val="none" w:sz="0" w:space="0" w:color="auto"/>
        <w:right w:val="none" w:sz="0" w:space="0" w:color="auto"/>
      </w:divBdr>
    </w:div>
    <w:div w:id="1773473853">
      <w:bodyDiv w:val="1"/>
      <w:marLeft w:val="0"/>
      <w:marRight w:val="0"/>
      <w:marTop w:val="0"/>
      <w:marBottom w:val="0"/>
      <w:divBdr>
        <w:top w:val="none" w:sz="0" w:space="0" w:color="auto"/>
        <w:left w:val="none" w:sz="0" w:space="0" w:color="auto"/>
        <w:bottom w:val="none" w:sz="0" w:space="0" w:color="auto"/>
        <w:right w:val="none" w:sz="0" w:space="0" w:color="auto"/>
      </w:divBdr>
    </w:div>
    <w:div w:id="1795444363">
      <w:bodyDiv w:val="1"/>
      <w:marLeft w:val="0"/>
      <w:marRight w:val="0"/>
      <w:marTop w:val="0"/>
      <w:marBottom w:val="0"/>
      <w:divBdr>
        <w:top w:val="none" w:sz="0" w:space="0" w:color="auto"/>
        <w:left w:val="none" w:sz="0" w:space="0" w:color="auto"/>
        <w:bottom w:val="none" w:sz="0" w:space="0" w:color="auto"/>
        <w:right w:val="none" w:sz="0" w:space="0" w:color="auto"/>
      </w:divBdr>
    </w:div>
    <w:div w:id="1851750651">
      <w:bodyDiv w:val="1"/>
      <w:marLeft w:val="0"/>
      <w:marRight w:val="0"/>
      <w:marTop w:val="0"/>
      <w:marBottom w:val="0"/>
      <w:divBdr>
        <w:top w:val="none" w:sz="0" w:space="0" w:color="auto"/>
        <w:left w:val="none" w:sz="0" w:space="0" w:color="auto"/>
        <w:bottom w:val="none" w:sz="0" w:space="0" w:color="auto"/>
        <w:right w:val="none" w:sz="0" w:space="0" w:color="auto"/>
      </w:divBdr>
    </w:div>
    <w:div w:id="1959558817">
      <w:bodyDiv w:val="1"/>
      <w:marLeft w:val="0"/>
      <w:marRight w:val="0"/>
      <w:marTop w:val="0"/>
      <w:marBottom w:val="0"/>
      <w:divBdr>
        <w:top w:val="none" w:sz="0" w:space="0" w:color="auto"/>
        <w:left w:val="none" w:sz="0" w:space="0" w:color="auto"/>
        <w:bottom w:val="none" w:sz="0" w:space="0" w:color="auto"/>
        <w:right w:val="none" w:sz="0" w:space="0" w:color="auto"/>
      </w:divBdr>
    </w:div>
    <w:div w:id="2000575025">
      <w:bodyDiv w:val="1"/>
      <w:marLeft w:val="0"/>
      <w:marRight w:val="0"/>
      <w:marTop w:val="0"/>
      <w:marBottom w:val="0"/>
      <w:divBdr>
        <w:top w:val="none" w:sz="0" w:space="0" w:color="auto"/>
        <w:left w:val="none" w:sz="0" w:space="0" w:color="auto"/>
        <w:bottom w:val="none" w:sz="0" w:space="0" w:color="auto"/>
        <w:right w:val="none" w:sz="0" w:space="0" w:color="auto"/>
      </w:divBdr>
    </w:div>
    <w:div w:id="2033606473">
      <w:bodyDiv w:val="1"/>
      <w:marLeft w:val="0"/>
      <w:marRight w:val="0"/>
      <w:marTop w:val="0"/>
      <w:marBottom w:val="0"/>
      <w:divBdr>
        <w:top w:val="none" w:sz="0" w:space="0" w:color="auto"/>
        <w:left w:val="none" w:sz="0" w:space="0" w:color="auto"/>
        <w:bottom w:val="none" w:sz="0" w:space="0" w:color="auto"/>
        <w:right w:val="none" w:sz="0" w:space="0" w:color="auto"/>
      </w:divBdr>
    </w:div>
    <w:div w:id="2078282810">
      <w:bodyDiv w:val="1"/>
      <w:marLeft w:val="0"/>
      <w:marRight w:val="0"/>
      <w:marTop w:val="0"/>
      <w:marBottom w:val="0"/>
      <w:divBdr>
        <w:top w:val="none" w:sz="0" w:space="0" w:color="auto"/>
        <w:left w:val="none" w:sz="0" w:space="0" w:color="auto"/>
        <w:bottom w:val="none" w:sz="0" w:space="0" w:color="auto"/>
        <w:right w:val="none" w:sz="0" w:space="0" w:color="auto"/>
      </w:divBdr>
    </w:div>
    <w:div w:id="209901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embed/QE-eNeJd8OY?feature=oembed"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12</Pages>
  <Words>4202</Words>
  <Characters>23117</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14</cp:revision>
  <dcterms:created xsi:type="dcterms:W3CDTF">2024-08-25T23:02:00Z</dcterms:created>
  <dcterms:modified xsi:type="dcterms:W3CDTF">2024-09-20T14:35:00Z</dcterms:modified>
</cp:coreProperties>
</file>